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F689" w14:textId="3EB2EDAE" w:rsidR="007B79DA" w:rsidRDefault="007B79DA" w:rsidP="007B79DA">
      <w:pPr>
        <w:pStyle w:val="NormalWeb"/>
        <w:rPr>
          <w:rFonts w:ascii="Arial" w:hAnsi="Arial" w:cs="Arial"/>
          <w:b/>
        </w:rPr>
      </w:pPr>
      <w:bookmarkStart w:id="0" w:name="_GoBack"/>
      <w:bookmarkEnd w:id="0"/>
      <w:r>
        <w:rPr>
          <w:noProof/>
        </w:rPr>
        <w:drawing>
          <wp:inline distT="0" distB="0" distL="0" distR="0" wp14:anchorId="6EA9059B" wp14:editId="65490E35">
            <wp:extent cx="1197922" cy="670560"/>
            <wp:effectExtent l="0" t="0" r="2540"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498" cy="670883"/>
                    </a:xfrm>
                    <a:prstGeom prst="rect">
                      <a:avLst/>
                    </a:prstGeom>
                    <a:noFill/>
                    <a:ln>
                      <a:noFill/>
                    </a:ln>
                  </pic:spPr>
                </pic:pic>
              </a:graphicData>
            </a:graphic>
          </wp:inline>
        </w:drawing>
      </w:r>
      <w:r>
        <w:rPr>
          <w:rFonts w:ascii="Arial" w:hAnsi="Arial" w:cs="Arial"/>
          <w:b/>
        </w:rPr>
        <w:tab/>
      </w:r>
      <w:r>
        <w:rPr>
          <w:rFonts w:ascii="Arial" w:hAnsi="Arial" w:cs="Arial"/>
          <w:b/>
        </w:rPr>
        <w:tab/>
      </w:r>
      <w:r w:rsidRPr="000706AF">
        <w:rPr>
          <w:rFonts w:ascii="Arial" w:hAnsi="Arial" w:cs="Arial"/>
          <w:b/>
          <w:sz w:val="36"/>
          <w:szCs w:val="36"/>
        </w:rPr>
        <w:t>Éléments d’actualité juridique</w:t>
      </w:r>
      <w:r>
        <w:rPr>
          <w:rFonts w:ascii="Arial" w:hAnsi="Arial" w:cs="Arial"/>
          <w:b/>
          <w:sz w:val="36"/>
          <w:szCs w:val="36"/>
        </w:rPr>
        <w:t xml:space="preserve"> - 3</w:t>
      </w:r>
      <w:r>
        <w:rPr>
          <w:rFonts w:ascii="Arial" w:hAnsi="Arial" w:cs="Arial"/>
          <w:b/>
        </w:rPr>
        <w:tab/>
      </w:r>
    </w:p>
    <w:p w14:paraId="756BB0EB" w14:textId="6E72D347" w:rsidR="007B79DA" w:rsidRDefault="00546792" w:rsidP="007B79DA">
      <w:pPr>
        <w:pStyle w:val="NormalWeb"/>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gramStart"/>
      <w:r>
        <w:rPr>
          <w:rFonts w:ascii="Arial" w:hAnsi="Arial" w:cs="Arial"/>
          <w:b/>
        </w:rPr>
        <w:t>mis</w:t>
      </w:r>
      <w:r w:rsidR="0069317E">
        <w:rPr>
          <w:rFonts w:ascii="Arial" w:hAnsi="Arial" w:cs="Arial"/>
          <w:b/>
        </w:rPr>
        <w:t>e</w:t>
      </w:r>
      <w:proofErr w:type="gramEnd"/>
      <w:r>
        <w:rPr>
          <w:rFonts w:ascii="Arial" w:hAnsi="Arial" w:cs="Arial"/>
          <w:b/>
        </w:rPr>
        <w:t xml:space="preserve"> à jour au 2 mai</w:t>
      </w:r>
      <w:r w:rsidR="007B79DA">
        <w:rPr>
          <w:rFonts w:ascii="Arial" w:hAnsi="Arial" w:cs="Arial"/>
          <w:b/>
        </w:rPr>
        <w:t xml:space="preserve"> 2017)</w:t>
      </w:r>
    </w:p>
    <w:p w14:paraId="275F17F1" w14:textId="50EDBA83" w:rsidR="007B79DA" w:rsidRPr="000800FD" w:rsidRDefault="007B79DA" w:rsidP="000800FD">
      <w:pPr>
        <w:pStyle w:val="NormalWeb"/>
        <w:jc w:val="both"/>
        <w:rPr>
          <w:rFonts w:ascii="Arial" w:hAnsi="Arial" w:cs="Arial"/>
        </w:rPr>
      </w:pPr>
      <w:r w:rsidRPr="00F23F6C">
        <w:rPr>
          <w:rFonts w:ascii="Arial" w:hAnsi="Arial" w:cs="Arial"/>
        </w:rPr>
        <w:t>La rubrique ne vise aucunement l’exhaustivité, mais a pour but d’attirer votre attention sur quelques points importants d’évolution du droit portant sur les programmes étudiés en STMG, BTS tertiaires et DGEMC.</w:t>
      </w:r>
    </w:p>
    <w:p w14:paraId="062631A6" w14:textId="77777777" w:rsidR="007B79DA" w:rsidRDefault="007B79DA" w:rsidP="007B79DA">
      <w:pPr>
        <w:pStyle w:val="NormalWeb"/>
        <w:numPr>
          <w:ilvl w:val="0"/>
          <w:numId w:val="2"/>
        </w:numPr>
        <w:jc w:val="both"/>
        <w:rPr>
          <w:rFonts w:ascii="Arial" w:hAnsi="Arial" w:cs="Arial"/>
          <w:b/>
          <w:color w:val="0070C0"/>
          <w:sz w:val="28"/>
          <w:szCs w:val="28"/>
        </w:rPr>
      </w:pPr>
      <w:r w:rsidRPr="000706AF">
        <w:rPr>
          <w:rFonts w:ascii="Arial" w:hAnsi="Arial" w:cs="Arial"/>
          <w:b/>
          <w:color w:val="0070C0"/>
          <w:sz w:val="28"/>
          <w:szCs w:val="28"/>
        </w:rPr>
        <w:t xml:space="preserve">Évolutions législatives </w:t>
      </w:r>
    </w:p>
    <w:p w14:paraId="104EB297" w14:textId="77777777" w:rsidR="00A36A06" w:rsidRDefault="00A36A06" w:rsidP="00546792">
      <w:pPr>
        <w:pStyle w:val="NormalWeb"/>
        <w:jc w:val="both"/>
        <w:rPr>
          <w:rFonts w:ascii="Arial" w:hAnsi="Arial" w:cs="Arial"/>
          <w:b/>
          <w:color w:val="0070C0"/>
          <w:sz w:val="28"/>
          <w:szCs w:val="28"/>
        </w:rPr>
      </w:pPr>
      <w:r>
        <w:rPr>
          <w:rFonts w:ascii="Arial" w:hAnsi="Arial" w:cs="Arial"/>
          <w:b/>
          <w:color w:val="0070C0"/>
          <w:sz w:val="28"/>
          <w:szCs w:val="28"/>
        </w:rPr>
        <w:t>Droit administratif</w:t>
      </w:r>
    </w:p>
    <w:p w14:paraId="6C022462" w14:textId="35A335B0" w:rsidR="00A36A06" w:rsidRPr="00B96862" w:rsidRDefault="00A36A06" w:rsidP="0022540E">
      <w:pPr>
        <w:pStyle w:val="Sansinterligne"/>
        <w:jc w:val="both"/>
        <w:rPr>
          <w:rFonts w:ascii="Arial" w:hAnsi="Arial" w:cs="Arial"/>
        </w:rPr>
      </w:pPr>
      <w:r w:rsidRPr="00B96862">
        <w:rPr>
          <w:rFonts w:ascii="Arial" w:hAnsi="Arial" w:cs="Arial"/>
        </w:rPr>
        <w:t xml:space="preserve">Le </w:t>
      </w:r>
      <w:hyperlink r:id="rId6" w:history="1">
        <w:r w:rsidRPr="00B96862">
          <w:rPr>
            <w:rFonts w:ascii="Arial" w:hAnsi="Arial" w:cs="Arial"/>
          </w:rPr>
          <w:t>décret du 10 avril 2017</w:t>
        </w:r>
      </w:hyperlink>
      <w:r w:rsidRPr="00B96862">
        <w:rPr>
          <w:rFonts w:ascii="Arial" w:hAnsi="Arial" w:cs="Arial"/>
        </w:rPr>
        <w:t xml:space="preserve"> portant diverses dispositions en matière de commande publique est paru au journal officiel du 12 avril 2017 (application </w:t>
      </w:r>
      <w:hyperlink r:id="rId7" w:history="1">
        <w:r w:rsidRPr="00B96862">
          <w:rPr>
            <w:rFonts w:ascii="Arial" w:hAnsi="Arial" w:cs="Arial"/>
            <w:u w:color="145C6C"/>
          </w:rPr>
          <w:t>ordonnance n°</w:t>
        </w:r>
        <w:r w:rsidRPr="00B96862">
          <w:rPr>
            <w:rFonts w:ascii="Arial" w:hAnsi="Arial" w:cs="Arial"/>
            <w:u w:val="single" w:color="145C6C"/>
          </w:rPr>
          <w:t xml:space="preserve"> </w:t>
        </w:r>
        <w:r w:rsidRPr="00B96862">
          <w:rPr>
            <w:rFonts w:ascii="Arial" w:hAnsi="Arial" w:cs="Arial"/>
            <w:u w:color="145C6C"/>
          </w:rPr>
          <w:t>2015-899 du 23 juillet 2015</w:t>
        </w:r>
      </w:hyperlink>
      <w:r w:rsidR="0069317E" w:rsidRPr="00B96862">
        <w:rPr>
          <w:rFonts w:ascii="Arial" w:hAnsi="Arial" w:cs="Arial"/>
        </w:rPr>
        <w:t xml:space="preserve"> </w:t>
      </w:r>
      <w:r w:rsidRPr="00B96862">
        <w:rPr>
          <w:rFonts w:ascii="Arial" w:hAnsi="Arial" w:cs="Arial"/>
        </w:rPr>
        <w:t>relative aux marchés publics</w:t>
      </w:r>
      <w:r w:rsidR="0069317E" w:rsidRPr="00B96862">
        <w:rPr>
          <w:rFonts w:ascii="Arial" w:hAnsi="Arial" w:cs="Arial"/>
        </w:rPr>
        <w:t>)</w:t>
      </w:r>
      <w:r w:rsidRPr="00B96862">
        <w:rPr>
          <w:rFonts w:ascii="Arial" w:hAnsi="Arial" w:cs="Arial"/>
        </w:rPr>
        <w:t xml:space="preserve">. Pour les consultations lancées à partir du 1er avril 2017, le titulaire pressenti pour l'attribution d'un marché public n'a plus l'obligation de fournir certains documents. </w:t>
      </w:r>
    </w:p>
    <w:p w14:paraId="2E25ABA1" w14:textId="512B425E" w:rsidR="00A36A06" w:rsidRPr="0022540E" w:rsidRDefault="001F4F39" w:rsidP="0022540E">
      <w:pPr>
        <w:pStyle w:val="Sansinterligne"/>
        <w:rPr>
          <w:rFonts w:ascii="Arial" w:hAnsi="Arial" w:cs="Arial"/>
          <w:color w:val="0000FF"/>
          <w:sz w:val="16"/>
          <w:szCs w:val="16"/>
        </w:rPr>
      </w:pPr>
      <w:hyperlink r:id="rId8" w:history="1">
        <w:r w:rsidR="00A36A06" w:rsidRPr="0022540E">
          <w:rPr>
            <w:rStyle w:val="Lienhypertexte"/>
            <w:rFonts w:ascii="Arial" w:hAnsi="Arial" w:cs="Arial"/>
            <w:color w:val="0000FF"/>
            <w:sz w:val="16"/>
            <w:szCs w:val="16"/>
          </w:rPr>
          <w:t>https://www.economie.gouv.fr/cedef/droit-des-marches-publics</w:t>
        </w:r>
      </w:hyperlink>
    </w:p>
    <w:p w14:paraId="5085A432" w14:textId="661C23E7" w:rsidR="00A36A06" w:rsidRPr="0022540E" w:rsidRDefault="001F4F39" w:rsidP="0022540E">
      <w:pPr>
        <w:pStyle w:val="Sansinterligne"/>
        <w:rPr>
          <w:rFonts w:ascii="Arial" w:hAnsi="Arial" w:cs="Arial"/>
          <w:color w:val="0000FF"/>
          <w:sz w:val="16"/>
          <w:szCs w:val="16"/>
        </w:rPr>
      </w:pPr>
      <w:hyperlink r:id="rId9" w:history="1">
        <w:r w:rsidR="00A36A06" w:rsidRPr="0022540E">
          <w:rPr>
            <w:rStyle w:val="Lienhypertexte"/>
            <w:rFonts w:ascii="Arial" w:hAnsi="Arial" w:cs="Arial"/>
            <w:color w:val="0000FF"/>
            <w:sz w:val="16"/>
            <w:szCs w:val="16"/>
          </w:rPr>
          <w:t>https://www.service-public.fr/professionnels-entreprises/actualites/A11566</w:t>
        </w:r>
      </w:hyperlink>
    </w:p>
    <w:p w14:paraId="481B10CC" w14:textId="0FA29681" w:rsidR="00A36A06" w:rsidRPr="0022540E" w:rsidRDefault="001F4F39" w:rsidP="0022540E">
      <w:pPr>
        <w:pStyle w:val="Sansinterligne"/>
        <w:rPr>
          <w:sz w:val="16"/>
          <w:szCs w:val="16"/>
        </w:rPr>
      </w:pPr>
      <w:hyperlink r:id="rId10" w:history="1">
        <w:r w:rsidR="0022540E" w:rsidRPr="0022540E">
          <w:rPr>
            <w:rStyle w:val="Lienhypertexte"/>
            <w:rFonts w:ascii="Arial" w:hAnsi="Arial" w:cs="Arial"/>
            <w:sz w:val="16"/>
            <w:szCs w:val="16"/>
          </w:rPr>
          <w:t>https://www.legifrance.gouv.fr/affichTexte.do?cidTexte=JORFTEXT000030920376&amp;dateTexte=&amp;categorieLien=id</w:t>
        </w:r>
      </w:hyperlink>
    </w:p>
    <w:p w14:paraId="6B7484EA" w14:textId="77777777" w:rsidR="0022540E" w:rsidRDefault="0022540E" w:rsidP="0022540E">
      <w:pPr>
        <w:pStyle w:val="Sansinterligne"/>
      </w:pPr>
    </w:p>
    <w:p w14:paraId="4B3C4A8D" w14:textId="77777777" w:rsidR="0022540E" w:rsidRPr="00F42FA7" w:rsidRDefault="0022540E" w:rsidP="00F42FA7">
      <w:pPr>
        <w:pStyle w:val="Sansinterligne"/>
        <w:jc w:val="both"/>
        <w:rPr>
          <w:rFonts w:ascii="Arial" w:hAnsi="Arial" w:cs="Arial"/>
          <w:color w:val="FF0000"/>
          <w:sz w:val="20"/>
          <w:szCs w:val="20"/>
          <w:u w:val="single"/>
        </w:rPr>
      </w:pPr>
      <w:r w:rsidRPr="00F42FA7">
        <w:rPr>
          <w:rFonts w:ascii="Arial" w:hAnsi="Arial" w:cs="Arial"/>
          <w:color w:val="FF0000"/>
          <w:sz w:val="20"/>
          <w:szCs w:val="20"/>
          <w:u w:val="single"/>
        </w:rPr>
        <w:t xml:space="preserve">Points de programme concerné : </w:t>
      </w:r>
    </w:p>
    <w:p w14:paraId="4BEFC4C1" w14:textId="64E67E50" w:rsidR="00A36A06" w:rsidRPr="0022540E" w:rsidRDefault="00915970" w:rsidP="0022540E">
      <w:pPr>
        <w:pStyle w:val="Sansinterligne"/>
        <w:jc w:val="both"/>
        <w:rPr>
          <w:rFonts w:ascii="Arial" w:hAnsi="Arial" w:cs="Arial"/>
          <w:color w:val="FF0000"/>
          <w:sz w:val="20"/>
          <w:szCs w:val="20"/>
        </w:rPr>
      </w:pPr>
      <w:r w:rsidRPr="00F42FA7">
        <w:rPr>
          <w:rFonts w:ascii="Arial" w:hAnsi="Arial" w:cs="Arial"/>
          <w:color w:val="FF0000"/>
          <w:sz w:val="20"/>
          <w:szCs w:val="20"/>
        </w:rPr>
        <w:t>STS 1ère année</w:t>
      </w:r>
      <w:r w:rsidR="0022540E" w:rsidRPr="00F42FA7">
        <w:rPr>
          <w:rFonts w:ascii="Arial" w:hAnsi="Arial" w:cs="Arial"/>
          <w:color w:val="FF0000"/>
          <w:sz w:val="20"/>
          <w:szCs w:val="20"/>
        </w:rPr>
        <w:t xml:space="preserve"> </w:t>
      </w:r>
      <w:r w:rsidR="00ED438E" w:rsidRPr="00F42FA7">
        <w:rPr>
          <w:rFonts w:ascii="Arial" w:hAnsi="Arial" w:cs="Arial"/>
          <w:color w:val="FF0000"/>
          <w:sz w:val="20"/>
          <w:szCs w:val="20"/>
        </w:rPr>
        <w:t>–</w:t>
      </w:r>
      <w:r w:rsidR="0022540E" w:rsidRPr="00F42FA7">
        <w:rPr>
          <w:rFonts w:ascii="Arial" w:hAnsi="Arial" w:cs="Arial"/>
          <w:color w:val="FF0000"/>
          <w:sz w:val="20"/>
          <w:szCs w:val="20"/>
        </w:rPr>
        <w:t xml:space="preserve"> </w:t>
      </w:r>
      <w:r w:rsidR="00B00D43" w:rsidRPr="00F42FA7">
        <w:rPr>
          <w:rFonts w:ascii="Arial" w:hAnsi="Arial" w:cs="Arial"/>
          <w:color w:val="FF0000"/>
          <w:sz w:val="20"/>
          <w:szCs w:val="20"/>
        </w:rPr>
        <w:t xml:space="preserve">Thème 3 : le contrat, support de </w:t>
      </w:r>
      <w:r w:rsidR="00F42FA7">
        <w:rPr>
          <w:rFonts w:ascii="Arial" w:hAnsi="Arial" w:cs="Arial"/>
          <w:color w:val="FF0000"/>
          <w:sz w:val="20"/>
          <w:szCs w:val="20"/>
        </w:rPr>
        <w:t xml:space="preserve">l’activité de l’entreprise - </w:t>
      </w:r>
      <w:r w:rsidR="003D01D4" w:rsidRPr="00F42FA7">
        <w:rPr>
          <w:rFonts w:ascii="Arial" w:hAnsi="Arial" w:cs="Arial"/>
          <w:color w:val="FF0000"/>
          <w:sz w:val="20"/>
          <w:szCs w:val="20"/>
        </w:rPr>
        <w:t>322.</w:t>
      </w:r>
      <w:r w:rsidR="00ED438E" w:rsidRPr="00F42FA7">
        <w:rPr>
          <w:rFonts w:ascii="Arial" w:hAnsi="Arial" w:cs="Arial"/>
          <w:color w:val="FF0000"/>
          <w:sz w:val="20"/>
          <w:szCs w:val="20"/>
        </w:rPr>
        <w:t xml:space="preserve"> Les relations contractuelles avec la personne publique </w:t>
      </w:r>
    </w:p>
    <w:p w14:paraId="5C720EF2" w14:textId="362607B3" w:rsidR="007B79DA" w:rsidRDefault="00546792" w:rsidP="00546792">
      <w:pPr>
        <w:pStyle w:val="NormalWeb"/>
        <w:jc w:val="both"/>
        <w:rPr>
          <w:rFonts w:ascii="Arial" w:hAnsi="Arial" w:cs="Arial"/>
          <w:b/>
          <w:color w:val="0070C0"/>
          <w:sz w:val="28"/>
          <w:szCs w:val="28"/>
        </w:rPr>
      </w:pPr>
      <w:r>
        <w:rPr>
          <w:rFonts w:ascii="Arial" w:hAnsi="Arial" w:cs="Arial"/>
          <w:b/>
          <w:color w:val="0070C0"/>
          <w:sz w:val="28"/>
          <w:szCs w:val="28"/>
        </w:rPr>
        <w:t>Droit pénal</w:t>
      </w:r>
    </w:p>
    <w:p w14:paraId="20F3E587" w14:textId="7E1E22A9" w:rsidR="00546792" w:rsidRPr="00546792" w:rsidRDefault="00546792" w:rsidP="00546792">
      <w:pPr>
        <w:widowControl w:val="0"/>
        <w:autoSpaceDE w:val="0"/>
        <w:autoSpaceDN w:val="0"/>
        <w:adjustRightInd w:val="0"/>
        <w:ind w:firstLine="708"/>
        <w:jc w:val="both"/>
        <w:rPr>
          <w:rFonts w:ascii="Arial" w:hAnsi="Arial" w:cs="Arial"/>
          <w:b/>
          <w:bCs/>
        </w:rPr>
      </w:pPr>
      <w:r>
        <w:rPr>
          <w:rFonts w:ascii="Arial" w:hAnsi="Arial" w:cs="Arial"/>
          <w:b/>
          <w:bCs/>
        </w:rPr>
        <w:t>* E</w:t>
      </w:r>
      <w:r w:rsidRPr="00546792">
        <w:rPr>
          <w:rFonts w:ascii="Arial" w:hAnsi="Arial" w:cs="Arial"/>
          <w:b/>
          <w:bCs/>
        </w:rPr>
        <w:t xml:space="preserve">xtension du délit d'entrave à l'interruption volontaire de grossesse </w:t>
      </w:r>
    </w:p>
    <w:p w14:paraId="5A7A4D4A" w14:textId="22F07112" w:rsidR="00546792" w:rsidRPr="00B96862" w:rsidRDefault="00546792" w:rsidP="00546792">
      <w:pPr>
        <w:widowControl w:val="0"/>
        <w:autoSpaceDE w:val="0"/>
        <w:autoSpaceDN w:val="0"/>
        <w:adjustRightInd w:val="0"/>
        <w:jc w:val="both"/>
        <w:rPr>
          <w:rFonts w:ascii="Arial" w:hAnsi="Arial" w:cs="Arial"/>
        </w:rPr>
      </w:pPr>
      <w:r w:rsidRPr="00B96862">
        <w:rPr>
          <w:rFonts w:ascii="Arial" w:hAnsi="Arial" w:cs="Arial"/>
        </w:rPr>
        <w:t>LOI n° 2017-347 du 20 mars 2017</w:t>
      </w:r>
    </w:p>
    <w:p w14:paraId="0258ECCF" w14:textId="77777777" w:rsidR="00546792" w:rsidRPr="00B96862" w:rsidRDefault="00546792" w:rsidP="00546792">
      <w:pPr>
        <w:widowControl w:val="0"/>
        <w:autoSpaceDE w:val="0"/>
        <w:autoSpaceDN w:val="0"/>
        <w:adjustRightInd w:val="0"/>
        <w:jc w:val="both"/>
        <w:rPr>
          <w:rFonts w:ascii="Arial" w:hAnsi="Arial" w:cs="Arial"/>
        </w:rPr>
      </w:pPr>
      <w:r w:rsidRPr="00B96862">
        <w:rPr>
          <w:rFonts w:ascii="Arial" w:hAnsi="Arial" w:cs="Arial"/>
        </w:rPr>
        <w:t>Le délit d’entrave à l’interruption volontaire de grossesse (IVG) est reconnu depuis la loi du 27 janvier 1993. La loi du 20 mars 2017 étend le délit d’entrave à l’IVG à de nouvelles pratiques présentes sur Internet.</w:t>
      </w:r>
    </w:p>
    <w:p w14:paraId="1EB44118" w14:textId="08466F75" w:rsidR="007B79DA" w:rsidRPr="00B96862" w:rsidRDefault="00546792" w:rsidP="00546792">
      <w:pPr>
        <w:widowControl w:val="0"/>
        <w:autoSpaceDE w:val="0"/>
        <w:autoSpaceDN w:val="0"/>
        <w:adjustRightInd w:val="0"/>
        <w:jc w:val="both"/>
        <w:rPr>
          <w:rFonts w:ascii="Arial" w:hAnsi="Arial" w:cs="Arial"/>
        </w:rPr>
      </w:pPr>
      <w:r w:rsidRPr="00B96862">
        <w:rPr>
          <w:rFonts w:ascii="Arial" w:hAnsi="Arial" w:cs="Arial"/>
        </w:rPr>
        <w:t>« Art. L. 2223-2.-Est puni de deux ans d'emprisonnement et de 30 000 euros d'amende le fait d'empêcher ou de tenter d'empêcher de pratiquer ou de s'informer sur une interruption volontaire de grossesse ou les actes préalables prévus par les articles L. 2212-3 à L. 2212-8 par tout moyen, y compris par voie électronique ou en ligne, notamment par la diffusion ou la transmission d'allégations ou d'indications de nature à induire intentionnellement en erreur, dans un but dissuasif, sur les caractéristiques ou les conséquences médicales d'une interruption volontaire de grossesse (…).</w:t>
      </w:r>
    </w:p>
    <w:p w14:paraId="6187EFB0" w14:textId="77777777" w:rsidR="0022540E" w:rsidRPr="0022540E" w:rsidRDefault="001F4F39" w:rsidP="0022540E">
      <w:pPr>
        <w:widowControl w:val="0"/>
        <w:autoSpaceDE w:val="0"/>
        <w:autoSpaceDN w:val="0"/>
        <w:adjustRightInd w:val="0"/>
        <w:jc w:val="both"/>
        <w:rPr>
          <w:rFonts w:ascii="Arial" w:hAnsi="Arial" w:cs="Arial"/>
          <w:color w:val="262626"/>
          <w:sz w:val="16"/>
          <w:szCs w:val="16"/>
        </w:rPr>
      </w:pPr>
      <w:hyperlink r:id="rId11" w:history="1">
        <w:r w:rsidR="0022540E" w:rsidRPr="0022540E">
          <w:rPr>
            <w:rStyle w:val="Lienhypertexte"/>
            <w:rFonts w:ascii="Arial" w:hAnsi="Arial" w:cs="Arial"/>
            <w:sz w:val="16"/>
            <w:szCs w:val="16"/>
          </w:rPr>
          <w:t>https://www.legifrance.gouv.fr/eli/loi/2017/3/20/AFSX1632341L/jo/texte</w:t>
        </w:r>
      </w:hyperlink>
    </w:p>
    <w:p w14:paraId="257A2007" w14:textId="77777777" w:rsidR="007B79DA" w:rsidRDefault="007B79DA" w:rsidP="00546792">
      <w:pPr>
        <w:widowControl w:val="0"/>
        <w:autoSpaceDE w:val="0"/>
        <w:autoSpaceDN w:val="0"/>
        <w:adjustRightInd w:val="0"/>
        <w:jc w:val="both"/>
        <w:rPr>
          <w:rFonts w:ascii="Arial" w:hAnsi="Arial" w:cs="Arial"/>
          <w:color w:val="262626"/>
          <w:sz w:val="25"/>
          <w:szCs w:val="25"/>
        </w:rPr>
      </w:pPr>
    </w:p>
    <w:p w14:paraId="592B8196" w14:textId="77777777" w:rsidR="007B79DA" w:rsidRPr="00265C68" w:rsidRDefault="007B79DA" w:rsidP="007B79DA">
      <w:pPr>
        <w:pStyle w:val="Sansinterligne"/>
        <w:jc w:val="both"/>
        <w:rPr>
          <w:rFonts w:ascii="Arial" w:hAnsi="Arial" w:cs="Arial"/>
          <w:color w:val="FF0000"/>
          <w:sz w:val="20"/>
          <w:szCs w:val="20"/>
        </w:rPr>
      </w:pPr>
      <w:r w:rsidRPr="00657FE2">
        <w:rPr>
          <w:rFonts w:ascii="Arial" w:hAnsi="Arial" w:cs="Arial"/>
          <w:color w:val="FF0000"/>
          <w:sz w:val="20"/>
          <w:szCs w:val="20"/>
          <w:u w:val="single"/>
        </w:rPr>
        <w:t xml:space="preserve">Points de programme concerné : </w:t>
      </w:r>
    </w:p>
    <w:p w14:paraId="1CB55E9D" w14:textId="6162E879" w:rsidR="007B79DA" w:rsidRDefault="007B79DA" w:rsidP="007B79DA">
      <w:pPr>
        <w:pStyle w:val="Sansinterligne"/>
        <w:jc w:val="both"/>
        <w:rPr>
          <w:rFonts w:ascii="Arial" w:hAnsi="Arial" w:cs="Arial"/>
          <w:color w:val="FF0000"/>
          <w:sz w:val="20"/>
          <w:szCs w:val="20"/>
        </w:rPr>
      </w:pPr>
      <w:r>
        <w:rPr>
          <w:rFonts w:ascii="Arial" w:hAnsi="Arial" w:cs="Arial"/>
          <w:color w:val="FF0000"/>
          <w:sz w:val="20"/>
          <w:szCs w:val="20"/>
        </w:rPr>
        <w:t>DGEMC </w:t>
      </w:r>
      <w:r w:rsidR="00265C68">
        <w:rPr>
          <w:rFonts w:ascii="Arial" w:hAnsi="Arial" w:cs="Arial"/>
          <w:color w:val="FF0000"/>
          <w:sz w:val="20"/>
          <w:szCs w:val="20"/>
        </w:rPr>
        <w:t>–</w:t>
      </w:r>
      <w:r>
        <w:rPr>
          <w:rFonts w:ascii="Arial" w:hAnsi="Arial" w:cs="Arial"/>
          <w:color w:val="FF0000"/>
          <w:sz w:val="20"/>
          <w:szCs w:val="20"/>
        </w:rPr>
        <w:t xml:space="preserve"> </w:t>
      </w:r>
      <w:r w:rsidR="00265C68">
        <w:rPr>
          <w:rFonts w:ascii="Arial" w:hAnsi="Arial" w:cs="Arial"/>
          <w:color w:val="FF0000"/>
          <w:sz w:val="20"/>
          <w:szCs w:val="20"/>
        </w:rPr>
        <w:t xml:space="preserve">Thème </w:t>
      </w:r>
      <w:r w:rsidR="00265C68" w:rsidRPr="00265C68">
        <w:rPr>
          <w:rFonts w:ascii="Arial" w:hAnsi="Arial" w:cs="Arial"/>
          <w:color w:val="FF0000"/>
          <w:sz w:val="20"/>
          <w:szCs w:val="20"/>
        </w:rPr>
        <w:t>2.8 La vie, le corps, la santé</w:t>
      </w:r>
    </w:p>
    <w:p w14:paraId="74FB7AF5" w14:textId="77777777" w:rsidR="007B79DA" w:rsidRPr="0096637D" w:rsidRDefault="007B79DA" w:rsidP="007B79DA">
      <w:pPr>
        <w:pStyle w:val="Sansinterligne"/>
        <w:jc w:val="both"/>
        <w:rPr>
          <w:rFonts w:ascii="Arial" w:hAnsi="Arial" w:cs="Arial"/>
          <w:color w:val="FF0000"/>
          <w:sz w:val="20"/>
          <w:szCs w:val="20"/>
        </w:rPr>
      </w:pPr>
    </w:p>
    <w:p w14:paraId="0CD61467" w14:textId="77777777" w:rsidR="000800FD" w:rsidRDefault="00546792" w:rsidP="000800FD">
      <w:pPr>
        <w:widowControl w:val="0"/>
        <w:autoSpaceDE w:val="0"/>
        <w:autoSpaceDN w:val="0"/>
        <w:adjustRightInd w:val="0"/>
        <w:ind w:firstLine="708"/>
        <w:jc w:val="both"/>
        <w:rPr>
          <w:rFonts w:ascii="Arial" w:hAnsi="Arial" w:cs="Arial"/>
          <w:b/>
          <w:bCs/>
        </w:rPr>
      </w:pPr>
      <w:r>
        <w:rPr>
          <w:rFonts w:ascii="Arial" w:hAnsi="Arial" w:cs="Arial"/>
          <w:b/>
          <w:bCs/>
        </w:rPr>
        <w:t>* Réforme de la prescription en matière pénale</w:t>
      </w:r>
      <w:r w:rsidRPr="00546792">
        <w:rPr>
          <w:rFonts w:ascii="Arial" w:hAnsi="Arial" w:cs="Arial"/>
          <w:b/>
          <w:bCs/>
        </w:rPr>
        <w:t xml:space="preserve"> </w:t>
      </w:r>
    </w:p>
    <w:p w14:paraId="63D109ED" w14:textId="0BD9674F" w:rsidR="004D23F0" w:rsidRPr="000800FD" w:rsidRDefault="004D23F0" w:rsidP="000800FD">
      <w:pPr>
        <w:widowControl w:val="0"/>
        <w:autoSpaceDE w:val="0"/>
        <w:autoSpaceDN w:val="0"/>
        <w:adjustRightInd w:val="0"/>
        <w:jc w:val="both"/>
        <w:rPr>
          <w:rFonts w:ascii="Arial" w:hAnsi="Arial" w:cs="Arial"/>
          <w:b/>
          <w:bCs/>
        </w:rPr>
      </w:pPr>
      <w:r w:rsidRPr="004D23F0">
        <w:rPr>
          <w:rFonts w:ascii="Arial" w:hAnsi="Arial" w:cs="Arial"/>
          <w:bCs/>
        </w:rPr>
        <w:t>LOI n° 2017-242 du 27 février 2017 portant réforme de la prescription en matière pénale</w:t>
      </w:r>
      <w:r w:rsidR="005D622B">
        <w:rPr>
          <w:rFonts w:ascii="Arial" w:hAnsi="Arial" w:cs="Arial"/>
          <w:bCs/>
        </w:rPr>
        <w:t>.</w:t>
      </w:r>
    </w:p>
    <w:p w14:paraId="7A3183BA" w14:textId="49D7BA84" w:rsidR="005D622B" w:rsidRDefault="005D622B" w:rsidP="004D23F0">
      <w:pPr>
        <w:widowControl w:val="0"/>
        <w:autoSpaceDE w:val="0"/>
        <w:autoSpaceDN w:val="0"/>
        <w:adjustRightInd w:val="0"/>
        <w:jc w:val="both"/>
        <w:rPr>
          <w:rFonts w:ascii="Arial" w:hAnsi="Arial" w:cs="Arial"/>
          <w:bCs/>
        </w:rPr>
      </w:pPr>
      <w:r>
        <w:rPr>
          <w:rFonts w:ascii="Arial" w:hAnsi="Arial" w:cs="Arial"/>
          <w:bCs/>
        </w:rPr>
        <w:t>La loi a pour objectif d’assurer un meilleur équilibre entre l’exigence de la répression des infractions et l’impératif de sécurité juridique et de conservation des preuves, notamment en allongeant les délais de prescription de l’action publique en matière criminelle et correctionnelle.</w:t>
      </w:r>
    </w:p>
    <w:p w14:paraId="741B3EE1" w14:textId="77777777" w:rsidR="005D622B" w:rsidRPr="005D622B" w:rsidRDefault="005D622B" w:rsidP="004D23F0">
      <w:pPr>
        <w:widowControl w:val="0"/>
        <w:autoSpaceDE w:val="0"/>
        <w:autoSpaceDN w:val="0"/>
        <w:adjustRightInd w:val="0"/>
        <w:jc w:val="both"/>
        <w:rPr>
          <w:rFonts w:ascii="Arial" w:hAnsi="Arial" w:cs="Arial"/>
          <w:bCs/>
        </w:rPr>
      </w:pPr>
    </w:p>
    <w:tbl>
      <w:tblPr>
        <w:tblStyle w:val="Grilledutableau"/>
        <w:tblW w:w="0" w:type="auto"/>
        <w:tblInd w:w="1526" w:type="dxa"/>
        <w:tblLook w:val="04A0" w:firstRow="1" w:lastRow="0" w:firstColumn="1" w:lastColumn="0" w:noHBand="0" w:noVBand="1"/>
      </w:tblPr>
      <w:tblGrid>
        <w:gridCol w:w="3077"/>
        <w:gridCol w:w="2876"/>
      </w:tblGrid>
      <w:tr w:rsidR="004D23F0" w14:paraId="17A21F97" w14:textId="77777777" w:rsidTr="00E7588E">
        <w:tc>
          <w:tcPr>
            <w:tcW w:w="3077" w:type="dxa"/>
          </w:tcPr>
          <w:p w14:paraId="4F9E1596" w14:textId="54483147" w:rsidR="004D23F0" w:rsidRDefault="004D23F0" w:rsidP="005D622B">
            <w:pPr>
              <w:widowControl w:val="0"/>
              <w:autoSpaceDE w:val="0"/>
              <w:autoSpaceDN w:val="0"/>
              <w:adjustRightInd w:val="0"/>
              <w:jc w:val="center"/>
              <w:rPr>
                <w:rFonts w:ascii="Arial" w:hAnsi="Arial" w:cs="Arial"/>
                <w:b/>
                <w:bCs/>
              </w:rPr>
            </w:pPr>
            <w:r>
              <w:rPr>
                <w:rFonts w:ascii="Arial" w:hAnsi="Arial" w:cs="Arial"/>
                <w:b/>
                <w:bCs/>
              </w:rPr>
              <w:t>Nature de l’infraction</w:t>
            </w:r>
          </w:p>
        </w:tc>
        <w:tc>
          <w:tcPr>
            <w:tcW w:w="2876" w:type="dxa"/>
          </w:tcPr>
          <w:p w14:paraId="34D363FF" w14:textId="01E596C8" w:rsidR="00E7588E" w:rsidRDefault="00E7588E" w:rsidP="005D622B">
            <w:pPr>
              <w:widowControl w:val="0"/>
              <w:autoSpaceDE w:val="0"/>
              <w:autoSpaceDN w:val="0"/>
              <w:adjustRightInd w:val="0"/>
              <w:jc w:val="center"/>
              <w:rPr>
                <w:rFonts w:ascii="Arial" w:hAnsi="Arial" w:cs="Arial"/>
                <w:b/>
                <w:bCs/>
              </w:rPr>
            </w:pPr>
            <w:r>
              <w:rPr>
                <w:rFonts w:ascii="Arial" w:hAnsi="Arial" w:cs="Arial"/>
                <w:b/>
                <w:bCs/>
              </w:rPr>
              <w:t>D</w:t>
            </w:r>
            <w:r w:rsidR="004D23F0">
              <w:rPr>
                <w:rFonts w:ascii="Arial" w:hAnsi="Arial" w:cs="Arial"/>
                <w:b/>
                <w:bCs/>
              </w:rPr>
              <w:t>élai</w:t>
            </w:r>
            <w:r>
              <w:rPr>
                <w:rFonts w:ascii="Arial" w:hAnsi="Arial" w:cs="Arial"/>
                <w:b/>
                <w:bCs/>
              </w:rPr>
              <w:t xml:space="preserve"> de prescription</w:t>
            </w:r>
          </w:p>
          <w:p w14:paraId="7EAEEC09" w14:textId="2CAFF01A" w:rsidR="004D23F0" w:rsidRDefault="00E7588E" w:rsidP="004D23F0">
            <w:pPr>
              <w:widowControl w:val="0"/>
              <w:autoSpaceDE w:val="0"/>
              <w:autoSpaceDN w:val="0"/>
              <w:adjustRightInd w:val="0"/>
              <w:jc w:val="both"/>
              <w:rPr>
                <w:rFonts w:ascii="Arial" w:hAnsi="Arial" w:cs="Arial"/>
                <w:b/>
                <w:bCs/>
              </w:rPr>
            </w:pPr>
            <w:r w:rsidRPr="00E7588E">
              <w:rPr>
                <w:rFonts w:ascii="Arial" w:hAnsi="Arial" w:cs="Arial"/>
                <w:bCs/>
              </w:rPr>
              <w:t>(à compter du jour où l’infraction est commise)</w:t>
            </w:r>
            <w:r>
              <w:rPr>
                <w:rFonts w:ascii="Arial" w:hAnsi="Arial" w:cs="Arial"/>
                <w:b/>
                <w:bCs/>
              </w:rPr>
              <w:t xml:space="preserve"> </w:t>
            </w:r>
          </w:p>
        </w:tc>
      </w:tr>
      <w:tr w:rsidR="004D23F0" w14:paraId="09177A57" w14:textId="77777777" w:rsidTr="00E7588E">
        <w:tc>
          <w:tcPr>
            <w:tcW w:w="3077" w:type="dxa"/>
          </w:tcPr>
          <w:p w14:paraId="41A2A32C" w14:textId="42B40181"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Contravention</w:t>
            </w:r>
          </w:p>
        </w:tc>
        <w:tc>
          <w:tcPr>
            <w:tcW w:w="2876" w:type="dxa"/>
          </w:tcPr>
          <w:p w14:paraId="175A951F" w14:textId="0EAA7FF1"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1 an</w:t>
            </w:r>
          </w:p>
        </w:tc>
      </w:tr>
      <w:tr w:rsidR="004D23F0" w14:paraId="27E7C5EA" w14:textId="77777777" w:rsidTr="00E7588E">
        <w:tc>
          <w:tcPr>
            <w:tcW w:w="3077" w:type="dxa"/>
          </w:tcPr>
          <w:p w14:paraId="64BD184C" w14:textId="3DFAFE5E"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Délit</w:t>
            </w:r>
          </w:p>
        </w:tc>
        <w:tc>
          <w:tcPr>
            <w:tcW w:w="2876" w:type="dxa"/>
          </w:tcPr>
          <w:p w14:paraId="4559FA65" w14:textId="7D3CFD5A"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6 ans</w:t>
            </w:r>
          </w:p>
        </w:tc>
      </w:tr>
      <w:tr w:rsidR="004D23F0" w14:paraId="2BAE7C2E" w14:textId="77777777" w:rsidTr="00E7588E">
        <w:tc>
          <w:tcPr>
            <w:tcW w:w="3077" w:type="dxa"/>
          </w:tcPr>
          <w:p w14:paraId="6E0AB479" w14:textId="3C8E25CD"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Crime</w:t>
            </w:r>
          </w:p>
        </w:tc>
        <w:tc>
          <w:tcPr>
            <w:tcW w:w="2876" w:type="dxa"/>
          </w:tcPr>
          <w:p w14:paraId="2BBA7886" w14:textId="344D0855"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20 ans</w:t>
            </w:r>
          </w:p>
        </w:tc>
      </w:tr>
      <w:tr w:rsidR="004D23F0" w14:paraId="5E298837" w14:textId="77777777" w:rsidTr="00E7588E">
        <w:tc>
          <w:tcPr>
            <w:tcW w:w="3077" w:type="dxa"/>
          </w:tcPr>
          <w:p w14:paraId="5FDEBFD5" w14:textId="2667F51A"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Crime contre l’humanité</w:t>
            </w:r>
          </w:p>
        </w:tc>
        <w:tc>
          <w:tcPr>
            <w:tcW w:w="2876" w:type="dxa"/>
          </w:tcPr>
          <w:p w14:paraId="7F724762" w14:textId="43B5712C" w:rsidR="004D23F0" w:rsidRPr="00E7588E" w:rsidRDefault="00E7588E" w:rsidP="00E7588E">
            <w:pPr>
              <w:widowControl w:val="0"/>
              <w:autoSpaceDE w:val="0"/>
              <w:autoSpaceDN w:val="0"/>
              <w:adjustRightInd w:val="0"/>
              <w:jc w:val="center"/>
              <w:rPr>
                <w:rFonts w:ascii="Arial" w:hAnsi="Arial" w:cs="Arial"/>
                <w:bCs/>
              </w:rPr>
            </w:pPr>
            <w:r w:rsidRPr="00E7588E">
              <w:rPr>
                <w:rFonts w:ascii="Arial" w:hAnsi="Arial" w:cs="Arial"/>
                <w:bCs/>
              </w:rPr>
              <w:t>Imprescriptibilité</w:t>
            </w:r>
          </w:p>
        </w:tc>
      </w:tr>
    </w:tbl>
    <w:p w14:paraId="2C049E8D" w14:textId="77777777" w:rsidR="004D23F0" w:rsidRPr="00546792" w:rsidRDefault="004D23F0" w:rsidP="004D23F0">
      <w:pPr>
        <w:widowControl w:val="0"/>
        <w:autoSpaceDE w:val="0"/>
        <w:autoSpaceDN w:val="0"/>
        <w:adjustRightInd w:val="0"/>
        <w:jc w:val="both"/>
        <w:rPr>
          <w:rFonts w:ascii="Arial" w:hAnsi="Arial" w:cs="Arial"/>
          <w:b/>
          <w:bCs/>
        </w:rPr>
      </w:pPr>
    </w:p>
    <w:p w14:paraId="2241E2E3" w14:textId="4ABAE0FA" w:rsidR="004662FC" w:rsidRPr="004D23F0" w:rsidRDefault="001F4F39" w:rsidP="004D23F0">
      <w:pPr>
        <w:pStyle w:val="Sansinterligne"/>
        <w:rPr>
          <w:rStyle w:val="Lienhypertexte"/>
          <w:sz w:val="16"/>
          <w:szCs w:val="16"/>
        </w:rPr>
      </w:pPr>
      <w:hyperlink r:id="rId12" w:history="1">
        <w:r w:rsidR="004D23F0" w:rsidRPr="004D23F0">
          <w:rPr>
            <w:rStyle w:val="Lienhypertexte"/>
            <w:rFonts w:ascii="Arial" w:hAnsi="Arial" w:cs="Arial"/>
            <w:sz w:val="16"/>
            <w:szCs w:val="16"/>
          </w:rPr>
          <w:t>https://www.legifrance.gouv.fr/eli/loi/2017/2/27/JUSX1607683L/jo/texte</w:t>
        </w:r>
      </w:hyperlink>
    </w:p>
    <w:p w14:paraId="1C3DF9C5" w14:textId="77777777" w:rsidR="004D23F0" w:rsidRDefault="004D23F0" w:rsidP="004662FC">
      <w:pPr>
        <w:widowControl w:val="0"/>
        <w:autoSpaceDE w:val="0"/>
        <w:autoSpaceDN w:val="0"/>
        <w:adjustRightInd w:val="0"/>
        <w:rPr>
          <w:rFonts w:ascii="Arial" w:hAnsi="Arial" w:cs="Arial"/>
          <w:sz w:val="30"/>
          <w:szCs w:val="30"/>
        </w:rPr>
      </w:pPr>
    </w:p>
    <w:p w14:paraId="67B92B8A" w14:textId="77777777" w:rsidR="008760E8" w:rsidRPr="00657FE2" w:rsidRDefault="008760E8" w:rsidP="008760E8">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2F5D18A6" w14:textId="7988B254" w:rsidR="008760E8" w:rsidRPr="00F42FA7" w:rsidRDefault="007B6E88" w:rsidP="008760E8">
      <w:pPr>
        <w:pStyle w:val="Sansinterligne"/>
        <w:jc w:val="both"/>
        <w:rPr>
          <w:rFonts w:ascii="Arial" w:hAnsi="Arial" w:cs="Arial"/>
          <w:bCs/>
          <w:color w:val="FF0000"/>
          <w:sz w:val="20"/>
          <w:szCs w:val="20"/>
        </w:rPr>
      </w:pPr>
      <w:r>
        <w:rPr>
          <w:rFonts w:ascii="Arial" w:hAnsi="Arial" w:cs="Arial"/>
          <w:bCs/>
          <w:color w:val="FF0000"/>
          <w:sz w:val="20"/>
          <w:szCs w:val="20"/>
        </w:rPr>
        <w:t>DGEMC  - Thème 1.4 : La responsabilité.</w:t>
      </w:r>
      <w:r w:rsidR="00265C68">
        <w:rPr>
          <w:rFonts w:ascii="Arial" w:hAnsi="Arial" w:cs="Arial"/>
          <w:bCs/>
          <w:color w:val="FF0000"/>
          <w:sz w:val="20"/>
          <w:szCs w:val="20"/>
        </w:rPr>
        <w:t xml:space="preserve"> Thème 2</w:t>
      </w:r>
      <w:r w:rsidR="00265C68" w:rsidRPr="00265C68">
        <w:rPr>
          <w:rFonts w:ascii="Arial" w:hAnsi="Arial" w:cs="Arial"/>
          <w:bCs/>
          <w:color w:val="FF0000"/>
          <w:sz w:val="20"/>
          <w:szCs w:val="20"/>
        </w:rPr>
        <w:t>.11 L'auteur d'une infraction</w:t>
      </w:r>
    </w:p>
    <w:p w14:paraId="7857FFBF" w14:textId="038FB898" w:rsidR="0041280B" w:rsidRDefault="0041280B" w:rsidP="0041280B">
      <w:pPr>
        <w:pStyle w:val="NormalWeb"/>
        <w:jc w:val="both"/>
        <w:rPr>
          <w:rFonts w:ascii="Arial" w:hAnsi="Arial" w:cs="Arial"/>
          <w:b/>
          <w:color w:val="0070C0"/>
          <w:sz w:val="28"/>
          <w:szCs w:val="28"/>
        </w:rPr>
      </w:pPr>
      <w:r>
        <w:rPr>
          <w:rFonts w:ascii="Arial" w:hAnsi="Arial" w:cs="Arial"/>
          <w:b/>
          <w:color w:val="0070C0"/>
          <w:sz w:val="28"/>
          <w:szCs w:val="28"/>
        </w:rPr>
        <w:t>Droit commercial</w:t>
      </w:r>
    </w:p>
    <w:p w14:paraId="1BCBBEE7" w14:textId="602A9BA6" w:rsidR="0041280B" w:rsidRPr="00546792" w:rsidRDefault="0041280B" w:rsidP="0041280B">
      <w:pPr>
        <w:widowControl w:val="0"/>
        <w:autoSpaceDE w:val="0"/>
        <w:autoSpaceDN w:val="0"/>
        <w:adjustRightInd w:val="0"/>
        <w:ind w:firstLine="708"/>
        <w:jc w:val="both"/>
        <w:rPr>
          <w:rFonts w:ascii="Arial" w:hAnsi="Arial" w:cs="Arial"/>
          <w:b/>
          <w:bCs/>
        </w:rPr>
      </w:pPr>
      <w:r>
        <w:rPr>
          <w:rFonts w:ascii="Arial" w:hAnsi="Arial" w:cs="Arial"/>
          <w:b/>
          <w:bCs/>
        </w:rPr>
        <w:t>* Responsabilité du fait des pratiques anticoncurrentielles</w:t>
      </w:r>
      <w:r w:rsidRPr="00546792">
        <w:rPr>
          <w:rFonts w:ascii="Arial" w:hAnsi="Arial" w:cs="Arial"/>
          <w:b/>
          <w:bCs/>
        </w:rPr>
        <w:t xml:space="preserve"> </w:t>
      </w:r>
    </w:p>
    <w:p w14:paraId="04EE949C" w14:textId="3BA9431C" w:rsidR="00E937C2" w:rsidRPr="00B96862" w:rsidRDefault="00E937C2" w:rsidP="0041280B">
      <w:pPr>
        <w:pStyle w:val="Sansinterligne"/>
        <w:jc w:val="both"/>
        <w:rPr>
          <w:rFonts w:ascii="Arial" w:hAnsi="Arial" w:cs="Arial"/>
        </w:rPr>
      </w:pPr>
      <w:r w:rsidRPr="00B96862">
        <w:rPr>
          <w:rFonts w:ascii="Arial" w:hAnsi="Arial" w:cs="Arial"/>
        </w:rPr>
        <w:t>L’ordonnance du 9 mars 2017 relative aux actions en dommages et intérêts du fait de</w:t>
      </w:r>
      <w:r w:rsidR="0041280B" w:rsidRPr="00B96862">
        <w:rPr>
          <w:rFonts w:ascii="Arial" w:hAnsi="Arial" w:cs="Arial"/>
        </w:rPr>
        <w:t>s</w:t>
      </w:r>
      <w:r w:rsidRPr="00B96862">
        <w:rPr>
          <w:rFonts w:ascii="Arial" w:hAnsi="Arial" w:cs="Arial"/>
        </w:rPr>
        <w:t xml:space="preserve"> pratiques anticoncurrentielles (habilitation donnée par la loi « Sapin II »  9 décembre 2016), transpose en droit français la directive 2014/104/UE du 26 novembre 2014.</w:t>
      </w:r>
    </w:p>
    <w:p w14:paraId="5C81544D" w14:textId="05C6C697" w:rsidR="0041280B" w:rsidRPr="00B96862" w:rsidRDefault="0041280B" w:rsidP="0041280B">
      <w:pPr>
        <w:pStyle w:val="Sansinterligne"/>
        <w:jc w:val="both"/>
        <w:rPr>
          <w:rFonts w:ascii="Arial" w:hAnsi="Arial" w:cs="Arial"/>
        </w:rPr>
      </w:pPr>
      <w:r w:rsidRPr="00B96862">
        <w:rPr>
          <w:rFonts w:ascii="Arial" w:hAnsi="Arial" w:cs="Arial"/>
        </w:rPr>
        <w:t>« Art. L. 481-1.-Toute personne physique ou morale formant une entreprise ou un organisme mentionné à l'article L. 464-2 est responsable du dommage qu'elle a causé du fait de la commission d'une pratique anticoncurrentielle (…)»</w:t>
      </w:r>
    </w:p>
    <w:p w14:paraId="62407332" w14:textId="5DA223BE" w:rsidR="0041280B" w:rsidRPr="0041280B" w:rsidRDefault="001F4F39" w:rsidP="0041280B">
      <w:pPr>
        <w:pStyle w:val="Sansinterligne"/>
      </w:pPr>
      <w:hyperlink r:id="rId13" w:history="1">
        <w:r w:rsidR="0041280B" w:rsidRPr="0041280B">
          <w:rPr>
            <w:rStyle w:val="Lienhypertexte"/>
            <w:rFonts w:ascii="Arial" w:hAnsi="Arial" w:cs="Arial"/>
            <w:sz w:val="16"/>
            <w:szCs w:val="16"/>
          </w:rPr>
          <w:t>https://www.legifrance.gouv.fr/affichTexte.do?cidTexte=JORFTEXT000034160223&amp;dateTexte=&amp;categorieLien=id</w:t>
        </w:r>
      </w:hyperlink>
    </w:p>
    <w:p w14:paraId="4FC7C869" w14:textId="77777777" w:rsidR="00E937C2" w:rsidRDefault="00E937C2" w:rsidP="00E937C2">
      <w:pPr>
        <w:pStyle w:val="Sansinterligne"/>
        <w:jc w:val="both"/>
        <w:rPr>
          <w:rFonts w:ascii="Arial" w:hAnsi="Arial" w:cs="Arial"/>
          <w:color w:val="FF0000"/>
          <w:sz w:val="20"/>
          <w:szCs w:val="20"/>
          <w:u w:val="single"/>
        </w:rPr>
      </w:pPr>
    </w:p>
    <w:p w14:paraId="3E6056A3" w14:textId="77777777" w:rsidR="00E937C2" w:rsidRPr="00657FE2" w:rsidRDefault="00E937C2" w:rsidP="00E937C2">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10E873AC" w14:textId="7C4D8AD9" w:rsidR="00E937C2" w:rsidRPr="00F42FA7" w:rsidRDefault="00E937C2" w:rsidP="00E937C2">
      <w:pPr>
        <w:pStyle w:val="Sansinterligne"/>
        <w:jc w:val="both"/>
        <w:rPr>
          <w:rFonts w:ascii="Arial" w:hAnsi="Arial" w:cs="Arial"/>
          <w:color w:val="FF0000"/>
          <w:sz w:val="20"/>
          <w:szCs w:val="20"/>
        </w:rPr>
      </w:pPr>
      <w:r w:rsidRPr="00F42FA7">
        <w:rPr>
          <w:rFonts w:ascii="Arial" w:hAnsi="Arial" w:cs="Arial"/>
          <w:color w:val="FF0000"/>
          <w:sz w:val="20"/>
          <w:szCs w:val="20"/>
        </w:rPr>
        <w:t xml:space="preserve">Terminale STMG - </w:t>
      </w:r>
      <w:r w:rsidR="00431E1D" w:rsidRPr="00F42FA7">
        <w:rPr>
          <w:rFonts w:ascii="Arial" w:hAnsi="Arial" w:cs="Arial"/>
          <w:color w:val="FF0000"/>
          <w:sz w:val="20"/>
          <w:szCs w:val="20"/>
        </w:rPr>
        <w:t>Thème 8</w:t>
      </w:r>
      <w:r w:rsidR="003D01D4" w:rsidRPr="00F42FA7">
        <w:rPr>
          <w:rFonts w:ascii="Arial" w:hAnsi="Arial" w:cs="Arial"/>
          <w:color w:val="FF0000"/>
          <w:sz w:val="20"/>
          <w:szCs w:val="20"/>
        </w:rPr>
        <w:t xml:space="preserve"> : </w:t>
      </w:r>
      <w:r w:rsidR="00431E1D" w:rsidRPr="00F42FA7">
        <w:rPr>
          <w:rFonts w:ascii="Arial" w:hAnsi="Arial" w:cs="Arial"/>
          <w:color w:val="FF0000"/>
          <w:sz w:val="20"/>
          <w:szCs w:val="20"/>
        </w:rPr>
        <w:t>Comment le droit organise-t-il l'activité économique ? Les pratiques anticoncurrentielles</w:t>
      </w:r>
    </w:p>
    <w:p w14:paraId="4EED1CED" w14:textId="77777777" w:rsidR="00265C68" w:rsidRDefault="00265C68" w:rsidP="00F42FA7">
      <w:pPr>
        <w:pStyle w:val="Sansinterligne"/>
        <w:jc w:val="both"/>
        <w:rPr>
          <w:rFonts w:ascii="Arial" w:hAnsi="Arial" w:cs="Arial"/>
          <w:color w:val="FF0000"/>
          <w:sz w:val="20"/>
          <w:szCs w:val="20"/>
        </w:rPr>
      </w:pPr>
      <w:r w:rsidRPr="00F42FA7">
        <w:rPr>
          <w:rFonts w:ascii="Arial" w:hAnsi="Arial" w:cs="Arial"/>
          <w:color w:val="FF0000"/>
          <w:sz w:val="20"/>
          <w:szCs w:val="20"/>
        </w:rPr>
        <w:t>DGEMC – Thème 2.5 L'entreprise</w:t>
      </w:r>
    </w:p>
    <w:p w14:paraId="782CAC9A" w14:textId="77777777" w:rsidR="00F42FA7" w:rsidRDefault="00F42FA7" w:rsidP="00F42FA7">
      <w:pPr>
        <w:pStyle w:val="Sansinterligne"/>
        <w:jc w:val="both"/>
        <w:rPr>
          <w:rFonts w:ascii="Arial" w:hAnsi="Arial" w:cs="Arial"/>
          <w:color w:val="FF0000"/>
          <w:sz w:val="20"/>
          <w:szCs w:val="20"/>
        </w:rPr>
      </w:pPr>
    </w:p>
    <w:p w14:paraId="0C2E369B" w14:textId="77777777" w:rsidR="00F42FA7" w:rsidRPr="00F42FA7" w:rsidRDefault="00F42FA7" w:rsidP="00F42FA7">
      <w:pPr>
        <w:pStyle w:val="Sansinterligne"/>
        <w:jc w:val="both"/>
        <w:rPr>
          <w:rFonts w:ascii="Arial" w:hAnsi="Arial" w:cs="Arial"/>
          <w:color w:val="FF0000"/>
          <w:sz w:val="20"/>
          <w:szCs w:val="20"/>
        </w:rPr>
      </w:pPr>
    </w:p>
    <w:p w14:paraId="480F9C2D" w14:textId="6F98BD5F" w:rsidR="00DB417F" w:rsidRPr="000E221A" w:rsidRDefault="000E221A" w:rsidP="000E221A">
      <w:pPr>
        <w:widowControl w:val="0"/>
        <w:autoSpaceDE w:val="0"/>
        <w:autoSpaceDN w:val="0"/>
        <w:adjustRightInd w:val="0"/>
        <w:ind w:firstLine="708"/>
        <w:jc w:val="both"/>
        <w:rPr>
          <w:rFonts w:ascii="Arial" w:hAnsi="Arial" w:cs="Arial"/>
          <w:b/>
          <w:bCs/>
        </w:rPr>
      </w:pPr>
      <w:r>
        <w:rPr>
          <w:rFonts w:ascii="Arial" w:hAnsi="Arial" w:cs="Arial"/>
          <w:b/>
          <w:bCs/>
        </w:rPr>
        <w:t>*</w:t>
      </w:r>
      <w:r w:rsidR="00DB417F" w:rsidRPr="000E221A">
        <w:rPr>
          <w:rFonts w:ascii="Arial" w:hAnsi="Arial" w:cs="Arial"/>
          <w:b/>
          <w:bCs/>
        </w:rPr>
        <w:t xml:space="preserve">Publication du décret « Sapin 2 » relatif aux sociétés et à l’EIRL </w:t>
      </w:r>
    </w:p>
    <w:p w14:paraId="6E47B8EC" w14:textId="69249BF7" w:rsidR="000E221A" w:rsidRDefault="000800FD" w:rsidP="000E221A">
      <w:pPr>
        <w:pStyle w:val="NormalWeb"/>
        <w:spacing w:before="0" w:beforeAutospacing="0" w:after="0" w:afterAutospacing="0"/>
        <w:jc w:val="both"/>
        <w:rPr>
          <w:rFonts w:ascii="Arial" w:hAnsi="Arial" w:cs="Arial"/>
          <w:sz w:val="24"/>
          <w:szCs w:val="24"/>
        </w:rPr>
      </w:pPr>
      <w:r>
        <w:rPr>
          <w:rFonts w:ascii="Arial" w:hAnsi="Arial" w:cs="Arial"/>
          <w:sz w:val="24"/>
          <w:szCs w:val="24"/>
        </w:rPr>
        <w:t xml:space="preserve">Loi Sapin 2 du 9 décembre 2016 : </w:t>
      </w:r>
      <w:r w:rsidR="000E221A">
        <w:rPr>
          <w:rFonts w:ascii="Arial" w:hAnsi="Arial" w:cs="Arial"/>
          <w:sz w:val="24"/>
          <w:szCs w:val="24"/>
        </w:rPr>
        <w:t>L</w:t>
      </w:r>
      <w:r w:rsidR="000E221A" w:rsidRPr="000E221A">
        <w:rPr>
          <w:rFonts w:ascii="Arial" w:hAnsi="Arial" w:cs="Arial"/>
          <w:sz w:val="24"/>
          <w:szCs w:val="24"/>
        </w:rPr>
        <w:t>oi relative à la transparence, à la lutte contre la corruption et à la modernisation</w:t>
      </w:r>
      <w:r>
        <w:rPr>
          <w:rFonts w:ascii="Arial" w:hAnsi="Arial" w:cs="Arial"/>
          <w:sz w:val="24"/>
          <w:szCs w:val="24"/>
        </w:rPr>
        <w:t xml:space="preserve"> de la vie économique</w:t>
      </w:r>
      <w:r w:rsidR="000E221A">
        <w:rPr>
          <w:rFonts w:ascii="Arial" w:hAnsi="Arial" w:cs="Arial"/>
          <w:sz w:val="24"/>
          <w:szCs w:val="24"/>
        </w:rPr>
        <w:t xml:space="preserve"> </w:t>
      </w:r>
    </w:p>
    <w:p w14:paraId="149BADCC" w14:textId="77777777" w:rsidR="000E221A" w:rsidRDefault="00DB417F" w:rsidP="000E221A">
      <w:pPr>
        <w:pStyle w:val="NormalWeb"/>
        <w:spacing w:before="0" w:beforeAutospacing="0" w:after="0" w:afterAutospacing="0"/>
        <w:jc w:val="both"/>
        <w:rPr>
          <w:rFonts w:ascii="Arial" w:hAnsi="Arial" w:cs="Arial"/>
          <w:sz w:val="24"/>
          <w:szCs w:val="24"/>
        </w:rPr>
      </w:pPr>
      <w:r w:rsidRPr="000E221A">
        <w:rPr>
          <w:rFonts w:ascii="Arial" w:hAnsi="Arial" w:cs="Arial"/>
          <w:sz w:val="24"/>
          <w:szCs w:val="24"/>
        </w:rPr>
        <w:t>Le décret n° 2017-630 du 25 avril 2017 contient certaines mesures de droit des sociétés, ainsi que celles relatives au statut de l’entrepreneur individuel à responsabilité limitée (EIRL) prises e</w:t>
      </w:r>
      <w:r w:rsidR="00B0027C" w:rsidRPr="000E221A">
        <w:rPr>
          <w:rFonts w:ascii="Arial" w:hAnsi="Arial" w:cs="Arial"/>
          <w:sz w:val="24"/>
          <w:szCs w:val="24"/>
        </w:rPr>
        <w:t>n application de la loi Sapin 2.</w:t>
      </w:r>
      <w:r w:rsidR="000E221A">
        <w:rPr>
          <w:rFonts w:ascii="Arial" w:hAnsi="Arial" w:cs="Arial"/>
          <w:sz w:val="24"/>
          <w:szCs w:val="24"/>
        </w:rPr>
        <w:t xml:space="preserve"> </w:t>
      </w:r>
    </w:p>
    <w:p w14:paraId="1EB8E33D" w14:textId="33671AD7" w:rsidR="00DB417F" w:rsidRPr="000E221A" w:rsidRDefault="00DB417F" w:rsidP="000E221A">
      <w:pPr>
        <w:pStyle w:val="NormalWeb"/>
        <w:spacing w:before="0" w:beforeAutospacing="0" w:after="0" w:afterAutospacing="0"/>
        <w:jc w:val="both"/>
        <w:rPr>
          <w:rFonts w:ascii="Arial" w:hAnsi="Arial" w:cs="Arial"/>
          <w:sz w:val="24"/>
          <w:szCs w:val="24"/>
        </w:rPr>
      </w:pPr>
      <w:r w:rsidRPr="000E221A">
        <w:rPr>
          <w:rFonts w:ascii="Arial" w:hAnsi="Arial" w:cs="Arial"/>
          <w:sz w:val="24"/>
          <w:szCs w:val="24"/>
        </w:rPr>
        <w:t xml:space="preserve">La loi modifie le régime de la SAS en matière d’apports en nature. Auparavant identique à celui </w:t>
      </w:r>
      <w:proofErr w:type="spellStart"/>
      <w:r w:rsidRPr="000E221A">
        <w:rPr>
          <w:rFonts w:ascii="Arial" w:hAnsi="Arial" w:cs="Arial"/>
          <w:sz w:val="24"/>
          <w:szCs w:val="24"/>
        </w:rPr>
        <w:t>des</w:t>
      </w:r>
      <w:proofErr w:type="spellEnd"/>
      <w:r w:rsidRPr="000E221A">
        <w:rPr>
          <w:rFonts w:ascii="Arial" w:hAnsi="Arial" w:cs="Arial"/>
          <w:sz w:val="24"/>
          <w:szCs w:val="24"/>
        </w:rPr>
        <w:t xml:space="preserve"> SA, il est désormais aligné sur le régime applicable dans la SARL. Le </w:t>
      </w:r>
      <w:r w:rsidR="00B0027C" w:rsidRPr="000E221A">
        <w:rPr>
          <w:rFonts w:ascii="Arial" w:hAnsi="Arial" w:cs="Arial"/>
          <w:sz w:val="24"/>
          <w:szCs w:val="24"/>
        </w:rPr>
        <w:t>décret du 25 avril 2017</w:t>
      </w:r>
      <w:r w:rsidRPr="000E221A">
        <w:rPr>
          <w:rFonts w:ascii="Arial" w:hAnsi="Arial" w:cs="Arial"/>
          <w:sz w:val="24"/>
          <w:szCs w:val="24"/>
        </w:rPr>
        <w:t xml:space="preserve"> fixe à 30 000 € le montant maximal d’un apport en nature à une société par actions simplifiée dispensé du recours au commissa</w:t>
      </w:r>
      <w:r w:rsidR="00B0027C" w:rsidRPr="000E221A">
        <w:rPr>
          <w:rFonts w:ascii="Arial" w:hAnsi="Arial" w:cs="Arial"/>
          <w:sz w:val="24"/>
          <w:szCs w:val="24"/>
        </w:rPr>
        <w:t>ire aux apports.</w:t>
      </w:r>
    </w:p>
    <w:p w14:paraId="4E08FB84" w14:textId="3C80339D" w:rsidR="00B0027C" w:rsidRDefault="00DB417F" w:rsidP="000E221A">
      <w:pPr>
        <w:pStyle w:val="NormalWeb"/>
        <w:spacing w:before="0" w:beforeAutospacing="0" w:after="0" w:afterAutospacing="0"/>
        <w:jc w:val="both"/>
        <w:rPr>
          <w:rFonts w:ascii="Arial" w:hAnsi="Arial" w:cs="Arial"/>
          <w:sz w:val="24"/>
          <w:szCs w:val="24"/>
        </w:rPr>
      </w:pPr>
      <w:r w:rsidRPr="000E221A">
        <w:rPr>
          <w:rFonts w:ascii="Arial" w:hAnsi="Arial" w:cs="Arial"/>
          <w:sz w:val="24"/>
          <w:szCs w:val="24"/>
        </w:rPr>
        <w:t>Entrepreneur individuel à responsabilité limitée</w:t>
      </w:r>
      <w:r w:rsidR="000E221A" w:rsidRPr="000E221A">
        <w:rPr>
          <w:rFonts w:ascii="Arial" w:hAnsi="Arial" w:cs="Arial"/>
          <w:sz w:val="24"/>
          <w:szCs w:val="24"/>
        </w:rPr>
        <w:t xml:space="preserve"> : </w:t>
      </w:r>
      <w:r w:rsidRPr="000E221A">
        <w:rPr>
          <w:rFonts w:ascii="Arial" w:hAnsi="Arial" w:cs="Arial"/>
          <w:sz w:val="24"/>
          <w:szCs w:val="24"/>
        </w:rPr>
        <w:t xml:space="preserve">La loi Sapin 2 </w:t>
      </w:r>
      <w:r w:rsidR="00B0027C" w:rsidRPr="000E221A">
        <w:rPr>
          <w:rFonts w:ascii="Arial" w:hAnsi="Arial" w:cs="Arial"/>
          <w:sz w:val="24"/>
          <w:szCs w:val="24"/>
        </w:rPr>
        <w:t xml:space="preserve">prévoit des mesures de simplification au dispositif de l’EIRL afin de </w:t>
      </w:r>
      <w:r w:rsidRPr="000E221A">
        <w:rPr>
          <w:rFonts w:ascii="Arial" w:hAnsi="Arial" w:cs="Arial"/>
          <w:sz w:val="24"/>
          <w:szCs w:val="24"/>
        </w:rPr>
        <w:t>favoriser le recours par les ent</w:t>
      </w:r>
      <w:r w:rsidR="00B0027C" w:rsidRPr="000E221A">
        <w:rPr>
          <w:rFonts w:ascii="Arial" w:hAnsi="Arial" w:cs="Arial"/>
          <w:sz w:val="24"/>
          <w:szCs w:val="24"/>
        </w:rPr>
        <w:t>repreneurs individuels à cette forme juridique.</w:t>
      </w:r>
      <w:r w:rsidRPr="000E221A">
        <w:rPr>
          <w:rFonts w:ascii="Arial" w:hAnsi="Arial" w:cs="Arial"/>
          <w:sz w:val="24"/>
          <w:szCs w:val="24"/>
        </w:rPr>
        <w:t xml:space="preserve"> </w:t>
      </w:r>
      <w:r w:rsidR="000E221A" w:rsidRPr="000E221A">
        <w:rPr>
          <w:rFonts w:ascii="Arial" w:hAnsi="Arial" w:cs="Arial"/>
          <w:sz w:val="24"/>
          <w:szCs w:val="24"/>
        </w:rPr>
        <w:t>(</w:t>
      </w:r>
      <w:r w:rsidR="00F35E08" w:rsidRPr="000E221A">
        <w:rPr>
          <w:rFonts w:ascii="Arial" w:hAnsi="Arial" w:cs="Arial"/>
          <w:sz w:val="24"/>
          <w:szCs w:val="24"/>
        </w:rPr>
        <w:t>Exemple</w:t>
      </w:r>
      <w:r w:rsidR="000E221A" w:rsidRPr="000E221A">
        <w:rPr>
          <w:rFonts w:ascii="Arial" w:hAnsi="Arial" w:cs="Arial"/>
          <w:sz w:val="24"/>
          <w:szCs w:val="24"/>
        </w:rPr>
        <w:t xml:space="preserve">, </w:t>
      </w:r>
      <w:r w:rsidR="00B0027C" w:rsidRPr="000E221A">
        <w:rPr>
          <w:rFonts w:ascii="Arial" w:hAnsi="Arial" w:cs="Arial"/>
          <w:sz w:val="24"/>
          <w:szCs w:val="24"/>
        </w:rPr>
        <w:t>les formalités liées au dépôt des documents comptables par les EIRL, prévues à l’article L 526-14 du Code de commerce, sont allégées</w:t>
      </w:r>
      <w:r w:rsidR="000E221A" w:rsidRPr="000E221A">
        <w:rPr>
          <w:rFonts w:ascii="Arial" w:hAnsi="Arial" w:cs="Arial"/>
          <w:sz w:val="24"/>
          <w:szCs w:val="24"/>
        </w:rPr>
        <w:t>)</w:t>
      </w:r>
    </w:p>
    <w:p w14:paraId="1D48E28F" w14:textId="77777777" w:rsidR="000800FD" w:rsidRPr="000E221A" w:rsidRDefault="000800FD" w:rsidP="000E221A">
      <w:pPr>
        <w:pStyle w:val="NormalWeb"/>
        <w:spacing w:before="0" w:beforeAutospacing="0" w:after="0" w:afterAutospacing="0"/>
        <w:jc w:val="both"/>
        <w:rPr>
          <w:rFonts w:ascii="Arial" w:hAnsi="Arial" w:cs="Arial"/>
          <w:sz w:val="24"/>
          <w:szCs w:val="24"/>
        </w:rPr>
      </w:pPr>
    </w:p>
    <w:p w14:paraId="7FDFA367" w14:textId="3A4C26ED" w:rsidR="00B0027C" w:rsidRPr="000E221A" w:rsidRDefault="00B0027C" w:rsidP="000E221A">
      <w:pPr>
        <w:pStyle w:val="Sansinterligne"/>
        <w:rPr>
          <w:rStyle w:val="Lienhypertexte"/>
          <w:sz w:val="16"/>
          <w:szCs w:val="16"/>
        </w:rPr>
      </w:pPr>
      <w:r w:rsidRPr="000E221A">
        <w:rPr>
          <w:rStyle w:val="Lienhypertexte"/>
          <w:sz w:val="16"/>
          <w:szCs w:val="16"/>
        </w:rPr>
        <w:t>Loi n° 2016-1691 du 9 décembre 2016 relative à la transparence, à la lutte contre la corruption et à la modernisation de la vie économique</w:t>
      </w:r>
      <w:r w:rsidRPr="000E221A">
        <w:rPr>
          <w:rStyle w:val="Lienhypertexte"/>
          <w:sz w:val="16"/>
          <w:szCs w:val="16"/>
        </w:rPr>
        <w:br/>
      </w:r>
      <w:r w:rsidRPr="004368D5">
        <w:rPr>
          <w:rStyle w:val="Lienhypertexte"/>
          <w:sz w:val="16"/>
          <w:szCs w:val="16"/>
        </w:rPr>
        <w:fldChar w:fldCharType="begin"/>
      </w:r>
      <w:r w:rsidRPr="000E221A">
        <w:rPr>
          <w:rStyle w:val="Lienhypertexte"/>
          <w:sz w:val="16"/>
          <w:szCs w:val="16"/>
        </w:rPr>
        <w:instrText xml:space="preserve"> HYPERLINK "https://www.legifrance.gouv.fr/eli/loi/2016/12/9/ECFM1605542L/jo/texte" \t "_blank" </w:instrText>
      </w:r>
      <w:r w:rsidRPr="004368D5">
        <w:rPr>
          <w:rStyle w:val="Lienhypertexte"/>
          <w:sz w:val="16"/>
          <w:szCs w:val="16"/>
        </w:rPr>
        <w:fldChar w:fldCharType="separate"/>
      </w:r>
      <w:r w:rsidRPr="000E221A">
        <w:rPr>
          <w:rStyle w:val="Lienhypertexte"/>
          <w:sz w:val="16"/>
          <w:szCs w:val="16"/>
        </w:rPr>
        <w:t>https://www.legifrance.gouv.fr/eli/loi/2016/12/9/ECFM1605542L/jo/texte</w:t>
      </w:r>
      <w:r w:rsidR="000E221A" w:rsidRPr="000E221A">
        <w:rPr>
          <w:rStyle w:val="Lienhypertexte"/>
          <w:sz w:val="16"/>
          <w:szCs w:val="16"/>
        </w:rPr>
        <w:t xml:space="preserve">   </w:t>
      </w:r>
    </w:p>
    <w:p w14:paraId="201C77F0" w14:textId="157D78A2" w:rsidR="004662FC" w:rsidRDefault="00B0027C" w:rsidP="000E221A">
      <w:pPr>
        <w:pStyle w:val="Sansinterligne"/>
        <w:rPr>
          <w:rStyle w:val="Lienhypertexte"/>
          <w:rFonts w:ascii="Arial" w:hAnsi="Arial" w:cs="Arial"/>
          <w:sz w:val="16"/>
          <w:szCs w:val="16"/>
        </w:rPr>
      </w:pPr>
      <w:r w:rsidRPr="004368D5">
        <w:rPr>
          <w:rStyle w:val="Lienhypertexte"/>
          <w:sz w:val="16"/>
          <w:szCs w:val="16"/>
        </w:rPr>
        <w:fldChar w:fldCharType="end"/>
      </w:r>
    </w:p>
    <w:p w14:paraId="402EC1B3" w14:textId="77777777" w:rsidR="00435BA1" w:rsidRPr="00657FE2" w:rsidRDefault="00435BA1" w:rsidP="00435BA1">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0989A01E" w14:textId="1930E0EB" w:rsidR="000E221A" w:rsidRPr="00F42FA7" w:rsidRDefault="00435BA1" w:rsidP="00F42FA7">
      <w:pPr>
        <w:pStyle w:val="Sansinterligne"/>
        <w:jc w:val="both"/>
        <w:rPr>
          <w:rFonts w:ascii="Arial" w:hAnsi="Arial" w:cs="Arial"/>
          <w:color w:val="FF0000"/>
          <w:sz w:val="20"/>
          <w:szCs w:val="20"/>
        </w:rPr>
      </w:pPr>
      <w:r w:rsidRPr="00F42FA7">
        <w:rPr>
          <w:rFonts w:ascii="Arial" w:hAnsi="Arial" w:cs="Arial"/>
          <w:color w:val="FF0000"/>
          <w:sz w:val="20"/>
          <w:szCs w:val="20"/>
        </w:rPr>
        <w:t xml:space="preserve">STS 1ère année : </w:t>
      </w:r>
      <w:r w:rsidR="00F42FA7">
        <w:rPr>
          <w:rFonts w:ascii="Arial" w:hAnsi="Arial" w:cs="Arial"/>
          <w:color w:val="FF0000"/>
          <w:sz w:val="20"/>
          <w:szCs w:val="20"/>
        </w:rPr>
        <w:t xml:space="preserve">Thème 2 : </w:t>
      </w:r>
      <w:r w:rsidR="00F42FA7" w:rsidRPr="00F42FA7">
        <w:rPr>
          <w:rFonts w:ascii="Arial" w:hAnsi="Arial" w:cs="Arial"/>
          <w:color w:val="FF0000"/>
          <w:sz w:val="20"/>
          <w:szCs w:val="20"/>
        </w:rPr>
        <w:t>Les structures et les organisations. 221. Le choix d’</w:t>
      </w:r>
      <w:r w:rsidR="004368D5">
        <w:rPr>
          <w:rFonts w:ascii="Arial" w:hAnsi="Arial" w:cs="Arial"/>
          <w:color w:val="FF0000"/>
          <w:sz w:val="20"/>
          <w:szCs w:val="20"/>
        </w:rPr>
        <w:t xml:space="preserve">une structure </w:t>
      </w:r>
      <w:r w:rsidR="00F42FA7" w:rsidRPr="00F42FA7">
        <w:rPr>
          <w:rFonts w:ascii="Arial" w:hAnsi="Arial" w:cs="Arial"/>
          <w:color w:val="FF0000"/>
          <w:sz w:val="20"/>
          <w:szCs w:val="20"/>
        </w:rPr>
        <w:t>juridique</w:t>
      </w:r>
    </w:p>
    <w:p w14:paraId="649BCAE6" w14:textId="52FAFA30" w:rsidR="00AD48FA" w:rsidRDefault="0069317E" w:rsidP="00AD48FA">
      <w:pPr>
        <w:pStyle w:val="NormalWeb"/>
        <w:numPr>
          <w:ilvl w:val="0"/>
          <w:numId w:val="2"/>
        </w:numPr>
        <w:jc w:val="both"/>
        <w:rPr>
          <w:rFonts w:ascii="Arial" w:hAnsi="Arial" w:cs="Arial"/>
          <w:b/>
          <w:color w:val="0070C0"/>
          <w:sz w:val="28"/>
          <w:szCs w:val="28"/>
        </w:rPr>
      </w:pPr>
      <w:r>
        <w:rPr>
          <w:rFonts w:ascii="Arial" w:hAnsi="Arial" w:cs="Arial"/>
          <w:b/>
          <w:color w:val="0070C0"/>
          <w:sz w:val="28"/>
          <w:szCs w:val="28"/>
        </w:rPr>
        <w:lastRenderedPageBreak/>
        <w:t>Jurisprudences</w:t>
      </w:r>
      <w:r w:rsidR="00AD48FA" w:rsidRPr="00D24166">
        <w:rPr>
          <w:rFonts w:ascii="Arial" w:hAnsi="Arial" w:cs="Arial"/>
          <w:b/>
          <w:color w:val="0070C0"/>
          <w:sz w:val="28"/>
          <w:szCs w:val="28"/>
        </w:rPr>
        <w:t xml:space="preserve"> </w:t>
      </w:r>
    </w:p>
    <w:p w14:paraId="14B29749" w14:textId="4C4C58B2" w:rsidR="00B97186" w:rsidRPr="00F35E08" w:rsidRDefault="00F35E08" w:rsidP="00B41350">
      <w:pPr>
        <w:pStyle w:val="Paragraphedeliste"/>
        <w:widowControl w:val="0"/>
        <w:autoSpaceDE w:val="0"/>
        <w:autoSpaceDN w:val="0"/>
        <w:adjustRightInd w:val="0"/>
        <w:jc w:val="both"/>
        <w:rPr>
          <w:rFonts w:ascii="Arial" w:hAnsi="Arial" w:cs="Arial"/>
          <w:b/>
          <w:bCs/>
          <w:color w:val="262626"/>
        </w:rPr>
      </w:pPr>
      <w:r>
        <w:rPr>
          <w:rFonts w:ascii="Arial" w:hAnsi="Arial" w:cs="Arial"/>
          <w:b/>
          <w:bCs/>
          <w:color w:val="262626"/>
        </w:rPr>
        <w:t>*</w:t>
      </w:r>
      <w:r w:rsidR="00B97186" w:rsidRPr="00F35E08">
        <w:rPr>
          <w:rFonts w:ascii="Arial" w:hAnsi="Arial" w:cs="Arial"/>
          <w:b/>
          <w:bCs/>
          <w:color w:val="262626"/>
        </w:rPr>
        <w:t>Sexe neutre</w:t>
      </w:r>
    </w:p>
    <w:p w14:paraId="5746293B" w14:textId="49EC69E0" w:rsidR="00F35E08" w:rsidRPr="00F35E08" w:rsidRDefault="00F35E08" w:rsidP="00F35E08">
      <w:pPr>
        <w:widowControl w:val="0"/>
        <w:autoSpaceDE w:val="0"/>
        <w:autoSpaceDN w:val="0"/>
        <w:adjustRightInd w:val="0"/>
        <w:jc w:val="both"/>
        <w:rPr>
          <w:rFonts w:ascii="Arial" w:hAnsi="Arial" w:cs="Arial"/>
          <w:bCs/>
        </w:rPr>
      </w:pPr>
      <w:r w:rsidRPr="00F35E08">
        <w:rPr>
          <w:rFonts w:ascii="Arial" w:hAnsi="Arial" w:cs="Arial"/>
          <w:bCs/>
        </w:rPr>
        <w:t xml:space="preserve">Cour de cassation, chambre civile1ère, </w:t>
      </w:r>
      <w:hyperlink r:id="rId14" w:tgtFrame="PopupInterRevue" w:history="1">
        <w:r w:rsidRPr="00F35E08">
          <w:rPr>
            <w:rFonts w:ascii="Arial" w:hAnsi="Arial" w:cs="Arial"/>
            <w:bCs/>
          </w:rPr>
          <w:t>4 mai 2017</w:t>
        </w:r>
      </w:hyperlink>
      <w:r w:rsidRPr="00F35E08">
        <w:rPr>
          <w:rFonts w:ascii="Arial" w:hAnsi="Arial" w:cs="Arial"/>
          <w:bCs/>
        </w:rPr>
        <w:t xml:space="preserve"> n° </w:t>
      </w:r>
      <w:hyperlink r:id="rId15" w:tgtFrame="PopupInterRevue" w:history="1">
        <w:r w:rsidRPr="00F35E08">
          <w:rPr>
            <w:rFonts w:ascii="Arial" w:hAnsi="Arial" w:cs="Arial"/>
            <w:bCs/>
          </w:rPr>
          <w:t>16-17189</w:t>
        </w:r>
      </w:hyperlink>
    </w:p>
    <w:p w14:paraId="0000629F" w14:textId="4110F907" w:rsidR="00B97186" w:rsidRPr="00F35E08" w:rsidRDefault="00F35E08" w:rsidP="00F35E08">
      <w:pPr>
        <w:widowControl w:val="0"/>
        <w:autoSpaceDE w:val="0"/>
        <w:autoSpaceDN w:val="0"/>
        <w:adjustRightInd w:val="0"/>
        <w:jc w:val="both"/>
        <w:rPr>
          <w:rFonts w:ascii="Arial" w:hAnsi="Arial" w:cs="Arial"/>
        </w:rPr>
      </w:pPr>
      <w:r w:rsidRPr="00F35E08">
        <w:rPr>
          <w:rFonts w:ascii="Arial" w:hAnsi="Arial" w:cs="Arial"/>
        </w:rPr>
        <w:t>L</w:t>
      </w:r>
      <w:r w:rsidR="00B97186" w:rsidRPr="00F35E08">
        <w:rPr>
          <w:rFonts w:ascii="Arial" w:hAnsi="Arial" w:cs="Arial"/>
        </w:rPr>
        <w:t>a Cour de cassation</w:t>
      </w:r>
      <w:r w:rsidRPr="00F35E08">
        <w:rPr>
          <w:rFonts w:ascii="Arial" w:hAnsi="Arial" w:cs="Arial"/>
        </w:rPr>
        <w:t xml:space="preserve"> refuse de reconnaître le sexe neutre à l ‘état civil.</w:t>
      </w:r>
    </w:p>
    <w:p w14:paraId="3B8BA1D2" w14:textId="0579D118" w:rsidR="00B97186" w:rsidRPr="00F35E08" w:rsidRDefault="00B97186" w:rsidP="00F35E08">
      <w:pPr>
        <w:widowControl w:val="0"/>
        <w:autoSpaceDE w:val="0"/>
        <w:autoSpaceDN w:val="0"/>
        <w:adjustRightInd w:val="0"/>
        <w:jc w:val="both"/>
        <w:rPr>
          <w:rFonts w:ascii="Arial" w:hAnsi="Arial" w:cs="Arial"/>
        </w:rPr>
      </w:pPr>
      <w:r w:rsidRPr="00F35E08">
        <w:rPr>
          <w:rFonts w:ascii="Arial" w:hAnsi="Arial" w:cs="Arial"/>
        </w:rPr>
        <w:t xml:space="preserve">Le requérant inscrit sur l’état civil comme étant de sexe masculin a expliqué être né et avoir grandi avec « une ambiguïté sexuelle qui a perduré tout au long de sa vie » Cet individu possède des organes génitaux qui « ne correspondent pas à la norme habituelle de l’anatomie masculine ou féminine ». </w:t>
      </w:r>
    </w:p>
    <w:p w14:paraId="03314887" w14:textId="77777777" w:rsidR="004368D5" w:rsidRDefault="004368D5" w:rsidP="00F35E08">
      <w:pPr>
        <w:pStyle w:val="Sansinterligne"/>
        <w:jc w:val="both"/>
        <w:rPr>
          <w:rFonts w:ascii="Arial" w:hAnsi="Arial" w:cs="Arial"/>
          <w:color w:val="FF0000"/>
          <w:sz w:val="20"/>
          <w:szCs w:val="20"/>
          <w:u w:val="single"/>
        </w:rPr>
      </w:pPr>
    </w:p>
    <w:p w14:paraId="55120ADA" w14:textId="77777777" w:rsidR="00F35E08" w:rsidRPr="00657FE2" w:rsidRDefault="00F35E08" w:rsidP="00F35E08">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3037319A" w14:textId="77777777" w:rsidR="00F35E08" w:rsidRPr="00C37B6E" w:rsidRDefault="00F35E08" w:rsidP="00F35E08">
      <w:pPr>
        <w:pStyle w:val="Sansinterligne"/>
        <w:jc w:val="both"/>
        <w:rPr>
          <w:rFonts w:ascii="Arial" w:hAnsi="Arial" w:cs="Arial"/>
          <w:color w:val="FF0000"/>
          <w:sz w:val="20"/>
          <w:szCs w:val="20"/>
        </w:rPr>
      </w:pPr>
      <w:r>
        <w:rPr>
          <w:rFonts w:ascii="Arial" w:hAnsi="Arial" w:cs="Arial"/>
          <w:color w:val="FF0000"/>
          <w:sz w:val="20"/>
          <w:szCs w:val="20"/>
        </w:rPr>
        <w:t>Première STMG – Thème 3 : Qui peut faire valoir ses droits ? La personne physique</w:t>
      </w:r>
    </w:p>
    <w:p w14:paraId="5076A3B5" w14:textId="77777777" w:rsidR="00F35E08" w:rsidRPr="000E66FE" w:rsidRDefault="00F35E08" w:rsidP="00F35E08">
      <w:pPr>
        <w:pStyle w:val="Sansinterligne"/>
        <w:jc w:val="both"/>
        <w:rPr>
          <w:rFonts w:ascii="Arial" w:hAnsi="Arial" w:cs="Arial"/>
          <w:color w:val="FF0000"/>
          <w:sz w:val="20"/>
          <w:szCs w:val="20"/>
        </w:rPr>
      </w:pPr>
      <w:r>
        <w:rPr>
          <w:rFonts w:ascii="Arial" w:hAnsi="Arial" w:cs="Arial"/>
          <w:color w:val="FF0000"/>
          <w:sz w:val="20"/>
          <w:szCs w:val="20"/>
        </w:rPr>
        <w:t>DGEMC -</w:t>
      </w:r>
      <w:r w:rsidRPr="0096637D">
        <w:rPr>
          <w:rFonts w:ascii="Arial" w:hAnsi="Arial" w:cs="Arial"/>
          <w:color w:val="FF0000"/>
          <w:sz w:val="20"/>
          <w:szCs w:val="20"/>
        </w:rPr>
        <w:t xml:space="preserve"> </w:t>
      </w:r>
      <w:r>
        <w:rPr>
          <w:rFonts w:ascii="Arial" w:hAnsi="Arial" w:cs="Arial"/>
          <w:color w:val="FF0000"/>
          <w:sz w:val="20"/>
          <w:szCs w:val="20"/>
        </w:rPr>
        <w:t xml:space="preserve">Thème 2.1 : La personne. Thème </w:t>
      </w:r>
      <w:r w:rsidRPr="00265C68">
        <w:rPr>
          <w:rFonts w:ascii="Arial" w:hAnsi="Arial" w:cs="Arial"/>
          <w:color w:val="FF0000"/>
          <w:sz w:val="20"/>
          <w:szCs w:val="20"/>
        </w:rPr>
        <w:t>2.7</w:t>
      </w:r>
      <w:r>
        <w:rPr>
          <w:rFonts w:ascii="Arial" w:hAnsi="Arial" w:cs="Arial"/>
          <w:color w:val="FF0000"/>
          <w:sz w:val="20"/>
          <w:szCs w:val="20"/>
        </w:rPr>
        <w:t xml:space="preserve"> : </w:t>
      </w:r>
      <w:r w:rsidRPr="00265C68">
        <w:rPr>
          <w:rFonts w:ascii="Arial" w:hAnsi="Arial" w:cs="Arial"/>
          <w:color w:val="FF0000"/>
          <w:sz w:val="20"/>
          <w:szCs w:val="20"/>
        </w:rPr>
        <w:t>Le sexe et le droit</w:t>
      </w:r>
      <w:r>
        <w:rPr>
          <w:rFonts w:ascii="Arial" w:hAnsi="Arial" w:cs="Arial"/>
          <w:color w:val="FF0000"/>
          <w:sz w:val="20"/>
          <w:szCs w:val="20"/>
        </w:rPr>
        <w:t>.</w:t>
      </w:r>
    </w:p>
    <w:p w14:paraId="29D41540" w14:textId="77777777" w:rsidR="00B97186" w:rsidRPr="00F35E08" w:rsidRDefault="00B97186" w:rsidP="00B41350">
      <w:pPr>
        <w:pStyle w:val="Paragraphedeliste"/>
        <w:widowControl w:val="0"/>
        <w:autoSpaceDE w:val="0"/>
        <w:autoSpaceDN w:val="0"/>
        <w:adjustRightInd w:val="0"/>
        <w:jc w:val="both"/>
        <w:rPr>
          <w:rFonts w:ascii="Arial" w:hAnsi="Arial" w:cs="Arial"/>
        </w:rPr>
      </w:pPr>
    </w:p>
    <w:p w14:paraId="5B6D8E0C" w14:textId="77777777" w:rsidR="00B97186" w:rsidRDefault="00B97186" w:rsidP="00B41350">
      <w:pPr>
        <w:pStyle w:val="Paragraphedeliste"/>
        <w:widowControl w:val="0"/>
        <w:autoSpaceDE w:val="0"/>
        <w:autoSpaceDN w:val="0"/>
        <w:adjustRightInd w:val="0"/>
        <w:jc w:val="both"/>
        <w:rPr>
          <w:rFonts w:ascii="Arial" w:hAnsi="Arial" w:cs="Arial"/>
          <w:b/>
          <w:bCs/>
          <w:color w:val="262626"/>
        </w:rPr>
      </w:pPr>
    </w:p>
    <w:p w14:paraId="01836BE9" w14:textId="393255FB" w:rsidR="00B41350" w:rsidRPr="0022540E" w:rsidRDefault="00B41350" w:rsidP="00B41350">
      <w:pPr>
        <w:pStyle w:val="Paragraphedeliste"/>
        <w:widowControl w:val="0"/>
        <w:autoSpaceDE w:val="0"/>
        <w:autoSpaceDN w:val="0"/>
        <w:adjustRightInd w:val="0"/>
        <w:jc w:val="both"/>
        <w:rPr>
          <w:rFonts w:ascii="Arial" w:hAnsi="Arial" w:cs="Arial"/>
          <w:b/>
          <w:bCs/>
          <w:color w:val="262626"/>
        </w:rPr>
      </w:pPr>
      <w:r w:rsidRPr="0022540E">
        <w:rPr>
          <w:rFonts w:ascii="Arial" w:hAnsi="Arial" w:cs="Arial"/>
          <w:b/>
          <w:bCs/>
          <w:color w:val="262626"/>
        </w:rPr>
        <w:t>* Transgenre : Condamnation de la France par la CEDH</w:t>
      </w:r>
      <w:r w:rsidR="0022540E">
        <w:rPr>
          <w:rFonts w:ascii="Arial" w:hAnsi="Arial" w:cs="Arial"/>
          <w:b/>
          <w:bCs/>
          <w:color w:val="262626"/>
        </w:rPr>
        <w:t>.</w:t>
      </w:r>
      <w:r w:rsidRPr="0022540E">
        <w:rPr>
          <w:rFonts w:ascii="Arial" w:hAnsi="Arial" w:cs="Arial"/>
          <w:b/>
          <w:bCs/>
          <w:color w:val="262626"/>
        </w:rPr>
        <w:t xml:space="preserve"> </w:t>
      </w:r>
    </w:p>
    <w:p w14:paraId="29CF7A6D" w14:textId="77777777" w:rsidR="00B41350" w:rsidRPr="00B96862" w:rsidRDefault="00B41350" w:rsidP="0022540E">
      <w:pPr>
        <w:widowControl w:val="0"/>
        <w:autoSpaceDE w:val="0"/>
        <w:autoSpaceDN w:val="0"/>
        <w:adjustRightInd w:val="0"/>
        <w:jc w:val="both"/>
        <w:rPr>
          <w:rFonts w:ascii="Arial" w:hAnsi="Arial" w:cs="Arial"/>
          <w:bCs/>
        </w:rPr>
      </w:pPr>
      <w:r w:rsidRPr="00B96862">
        <w:rPr>
          <w:rFonts w:ascii="Arial" w:hAnsi="Arial" w:cs="Arial"/>
          <w:bCs/>
        </w:rPr>
        <w:t>CEDH 6 avril 2017 n° requête 79885/12</w:t>
      </w:r>
    </w:p>
    <w:p w14:paraId="17986498" w14:textId="77777777" w:rsidR="00B41350" w:rsidRPr="00B96862" w:rsidRDefault="00B41350" w:rsidP="0022540E">
      <w:pPr>
        <w:widowControl w:val="0"/>
        <w:autoSpaceDE w:val="0"/>
        <w:autoSpaceDN w:val="0"/>
        <w:adjustRightInd w:val="0"/>
        <w:jc w:val="both"/>
        <w:rPr>
          <w:rFonts w:ascii="Arial" w:hAnsi="Arial" w:cs="Arial"/>
          <w:bCs/>
        </w:rPr>
      </w:pPr>
      <w:r w:rsidRPr="00B96862">
        <w:rPr>
          <w:rFonts w:ascii="Arial" w:hAnsi="Arial" w:cs="Arial"/>
          <w:bCs/>
        </w:rPr>
        <w:t xml:space="preserve">Le changement d’état civil peut se faire sans changement de sexe </w:t>
      </w:r>
    </w:p>
    <w:p w14:paraId="4C57D4A7" w14:textId="77777777" w:rsidR="00B41350" w:rsidRPr="00B96862" w:rsidRDefault="00B41350" w:rsidP="0022540E">
      <w:pPr>
        <w:widowControl w:val="0"/>
        <w:autoSpaceDE w:val="0"/>
        <w:autoSpaceDN w:val="0"/>
        <w:adjustRightInd w:val="0"/>
        <w:jc w:val="both"/>
        <w:rPr>
          <w:rFonts w:ascii="Arial" w:hAnsi="Arial" w:cs="Arial"/>
          <w:bCs/>
        </w:rPr>
      </w:pPr>
      <w:r w:rsidRPr="00B96862">
        <w:rPr>
          <w:rFonts w:ascii="Arial" w:hAnsi="Arial" w:cs="Arial"/>
          <w:bCs/>
        </w:rPr>
        <w:t xml:space="preserve">La France obligeait la personne souhaitant changer la mention de sexe à l’état civil « à subir une opération stérilisante ou un traitement entraînant une très forte probabilité de stérilité », il s’agit pour la CEDH d’une violation du droit au respect de la vie privée. </w:t>
      </w:r>
    </w:p>
    <w:p w14:paraId="6085DA0E" w14:textId="77777777" w:rsidR="00B41350" w:rsidRDefault="00B41350" w:rsidP="00B41350">
      <w:pPr>
        <w:pStyle w:val="Sansinterligne"/>
        <w:ind w:left="720"/>
        <w:jc w:val="both"/>
        <w:rPr>
          <w:rFonts w:ascii="Arial" w:hAnsi="Arial" w:cs="Arial"/>
          <w:color w:val="FF0000"/>
          <w:sz w:val="20"/>
          <w:szCs w:val="20"/>
        </w:rPr>
      </w:pPr>
    </w:p>
    <w:p w14:paraId="0A0B22E8" w14:textId="77777777" w:rsidR="00B41350" w:rsidRPr="00657FE2" w:rsidRDefault="00B41350" w:rsidP="0022540E">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6846CD42" w14:textId="277A438B" w:rsidR="00B41350" w:rsidRPr="00C37B6E" w:rsidRDefault="00B41350" w:rsidP="0022540E">
      <w:pPr>
        <w:pStyle w:val="Sansinterligne"/>
        <w:jc w:val="both"/>
        <w:rPr>
          <w:rFonts w:ascii="Arial" w:hAnsi="Arial" w:cs="Arial"/>
          <w:color w:val="FF0000"/>
          <w:sz w:val="20"/>
          <w:szCs w:val="20"/>
        </w:rPr>
      </w:pPr>
      <w:r>
        <w:rPr>
          <w:rFonts w:ascii="Arial" w:hAnsi="Arial" w:cs="Arial"/>
          <w:color w:val="FF0000"/>
          <w:sz w:val="20"/>
          <w:szCs w:val="20"/>
        </w:rPr>
        <w:t>Première STMG </w:t>
      </w:r>
      <w:r w:rsidR="00EC1182">
        <w:rPr>
          <w:rFonts w:ascii="Arial" w:hAnsi="Arial" w:cs="Arial"/>
          <w:color w:val="FF0000"/>
          <w:sz w:val="20"/>
          <w:szCs w:val="20"/>
        </w:rPr>
        <w:t>–</w:t>
      </w:r>
      <w:r>
        <w:rPr>
          <w:rFonts w:ascii="Arial" w:hAnsi="Arial" w:cs="Arial"/>
          <w:color w:val="FF0000"/>
          <w:sz w:val="20"/>
          <w:szCs w:val="20"/>
        </w:rPr>
        <w:t xml:space="preserve"> </w:t>
      </w:r>
      <w:r w:rsidR="00EC1182">
        <w:rPr>
          <w:rFonts w:ascii="Arial" w:hAnsi="Arial" w:cs="Arial"/>
          <w:color w:val="FF0000"/>
          <w:sz w:val="20"/>
          <w:szCs w:val="20"/>
        </w:rPr>
        <w:t>Thème 3 : Qui peut faire valoir ses droits ? La personne physique</w:t>
      </w:r>
    </w:p>
    <w:p w14:paraId="7431584F" w14:textId="45B9290D" w:rsidR="00BD2363" w:rsidRPr="000E66FE" w:rsidRDefault="00BD2363" w:rsidP="00BD2363">
      <w:pPr>
        <w:pStyle w:val="Sansinterligne"/>
        <w:jc w:val="both"/>
        <w:rPr>
          <w:rFonts w:ascii="Arial" w:hAnsi="Arial" w:cs="Arial"/>
          <w:color w:val="FF0000"/>
          <w:sz w:val="20"/>
          <w:szCs w:val="20"/>
        </w:rPr>
      </w:pPr>
      <w:r>
        <w:rPr>
          <w:rFonts w:ascii="Arial" w:hAnsi="Arial" w:cs="Arial"/>
          <w:color w:val="FF0000"/>
          <w:sz w:val="20"/>
          <w:szCs w:val="20"/>
        </w:rPr>
        <w:t>DGEMC -</w:t>
      </w:r>
      <w:r w:rsidRPr="0096637D">
        <w:rPr>
          <w:rFonts w:ascii="Arial" w:hAnsi="Arial" w:cs="Arial"/>
          <w:color w:val="FF0000"/>
          <w:sz w:val="20"/>
          <w:szCs w:val="20"/>
        </w:rPr>
        <w:t xml:space="preserve"> </w:t>
      </w:r>
      <w:r>
        <w:rPr>
          <w:rFonts w:ascii="Arial" w:hAnsi="Arial" w:cs="Arial"/>
          <w:color w:val="FF0000"/>
          <w:sz w:val="20"/>
          <w:szCs w:val="20"/>
        </w:rPr>
        <w:t>Thème 2.1 : La personne.</w:t>
      </w:r>
      <w:r w:rsidR="00265C68">
        <w:rPr>
          <w:rFonts w:ascii="Arial" w:hAnsi="Arial" w:cs="Arial"/>
          <w:color w:val="FF0000"/>
          <w:sz w:val="20"/>
          <w:szCs w:val="20"/>
        </w:rPr>
        <w:t xml:space="preserve"> Thème </w:t>
      </w:r>
      <w:r w:rsidR="00265C68" w:rsidRPr="00265C68">
        <w:rPr>
          <w:rFonts w:ascii="Arial" w:hAnsi="Arial" w:cs="Arial"/>
          <w:color w:val="FF0000"/>
          <w:sz w:val="20"/>
          <w:szCs w:val="20"/>
        </w:rPr>
        <w:t>2.7</w:t>
      </w:r>
      <w:r w:rsidR="00265C68">
        <w:rPr>
          <w:rFonts w:ascii="Arial" w:hAnsi="Arial" w:cs="Arial"/>
          <w:color w:val="FF0000"/>
          <w:sz w:val="20"/>
          <w:szCs w:val="20"/>
        </w:rPr>
        <w:t xml:space="preserve"> : </w:t>
      </w:r>
      <w:r w:rsidR="00265C68" w:rsidRPr="00265C68">
        <w:rPr>
          <w:rFonts w:ascii="Arial" w:hAnsi="Arial" w:cs="Arial"/>
          <w:color w:val="FF0000"/>
          <w:sz w:val="20"/>
          <w:szCs w:val="20"/>
        </w:rPr>
        <w:t>Le sexe et le droit</w:t>
      </w:r>
      <w:r w:rsidR="00265C68">
        <w:rPr>
          <w:rFonts w:ascii="Arial" w:hAnsi="Arial" w:cs="Arial"/>
          <w:color w:val="FF0000"/>
          <w:sz w:val="20"/>
          <w:szCs w:val="20"/>
        </w:rPr>
        <w:t>.</w:t>
      </w:r>
    </w:p>
    <w:p w14:paraId="7F3D58E8" w14:textId="796D610E" w:rsidR="00B41350" w:rsidRDefault="00B41350" w:rsidP="0022540E">
      <w:pPr>
        <w:pStyle w:val="Sansinterligne"/>
        <w:jc w:val="both"/>
        <w:rPr>
          <w:rFonts w:ascii="Arial" w:hAnsi="Arial" w:cs="Arial"/>
          <w:color w:val="FF0000"/>
          <w:sz w:val="20"/>
          <w:szCs w:val="20"/>
        </w:rPr>
      </w:pPr>
    </w:p>
    <w:p w14:paraId="765B533B" w14:textId="77777777" w:rsidR="00B41350" w:rsidRDefault="00B41350" w:rsidP="0041280B">
      <w:pPr>
        <w:pStyle w:val="Sansinterligne"/>
        <w:jc w:val="both"/>
        <w:rPr>
          <w:rFonts w:ascii="Arial" w:hAnsi="Arial" w:cs="Arial"/>
          <w:color w:val="FF0000"/>
          <w:sz w:val="20"/>
          <w:szCs w:val="20"/>
        </w:rPr>
      </w:pPr>
    </w:p>
    <w:p w14:paraId="28950049" w14:textId="77777777" w:rsidR="00B41350" w:rsidRDefault="00B41350" w:rsidP="00B41350">
      <w:pPr>
        <w:pStyle w:val="Sansinterligne"/>
        <w:ind w:left="720"/>
        <w:jc w:val="both"/>
        <w:rPr>
          <w:rFonts w:ascii="Arial" w:hAnsi="Arial" w:cs="Arial"/>
          <w:color w:val="FF0000"/>
          <w:sz w:val="20"/>
          <w:szCs w:val="20"/>
        </w:rPr>
      </w:pPr>
    </w:p>
    <w:p w14:paraId="04FF9A22" w14:textId="2D80971F" w:rsidR="00B41350" w:rsidRPr="0022540E" w:rsidRDefault="0022540E" w:rsidP="0022540E">
      <w:pPr>
        <w:pStyle w:val="Paragraphedeliste"/>
        <w:widowControl w:val="0"/>
        <w:autoSpaceDE w:val="0"/>
        <w:autoSpaceDN w:val="0"/>
        <w:adjustRightInd w:val="0"/>
        <w:jc w:val="both"/>
        <w:rPr>
          <w:rFonts w:ascii="Arial" w:hAnsi="Arial" w:cs="Arial"/>
          <w:b/>
          <w:bCs/>
          <w:color w:val="262626"/>
        </w:rPr>
      </w:pPr>
      <w:r w:rsidRPr="0022540E">
        <w:rPr>
          <w:rFonts w:ascii="Arial" w:hAnsi="Arial" w:cs="Arial"/>
          <w:b/>
          <w:bCs/>
          <w:color w:val="262626"/>
        </w:rPr>
        <w:t xml:space="preserve">* </w:t>
      </w:r>
      <w:r>
        <w:rPr>
          <w:rFonts w:ascii="Arial" w:hAnsi="Arial" w:cs="Arial"/>
          <w:b/>
          <w:bCs/>
          <w:color w:val="262626"/>
        </w:rPr>
        <w:t xml:space="preserve">Responsabilité : Accident de la circulation, </w:t>
      </w:r>
      <w:r w:rsidR="00B41350" w:rsidRPr="0022540E">
        <w:rPr>
          <w:rFonts w:ascii="Arial" w:hAnsi="Arial" w:cs="Arial"/>
          <w:b/>
          <w:bCs/>
          <w:color w:val="262626"/>
        </w:rPr>
        <w:t>loi 5 juillet 1985</w:t>
      </w:r>
      <w:r>
        <w:rPr>
          <w:rFonts w:ascii="Arial" w:hAnsi="Arial" w:cs="Arial"/>
          <w:b/>
          <w:bCs/>
          <w:color w:val="262626"/>
        </w:rPr>
        <w:t>.</w:t>
      </w:r>
    </w:p>
    <w:p w14:paraId="7527BD4C" w14:textId="2ECDC0F9" w:rsidR="0022540E" w:rsidRPr="000800FD" w:rsidRDefault="0022540E" w:rsidP="00E937C2">
      <w:pPr>
        <w:widowControl w:val="0"/>
        <w:autoSpaceDE w:val="0"/>
        <w:autoSpaceDN w:val="0"/>
        <w:adjustRightInd w:val="0"/>
        <w:jc w:val="both"/>
        <w:rPr>
          <w:rFonts w:ascii="Arial" w:hAnsi="Arial" w:cs="Arial"/>
        </w:rPr>
      </w:pPr>
      <w:r w:rsidRPr="000800FD">
        <w:rPr>
          <w:rFonts w:ascii="Arial" w:hAnsi="Arial" w:cs="Arial"/>
        </w:rPr>
        <w:t>Cour de cassation, chambre civile 2°, 2 mars 2017 n° 16-15562</w:t>
      </w:r>
    </w:p>
    <w:p w14:paraId="5CC8C59E" w14:textId="71AD0FE2" w:rsidR="00B41350" w:rsidRPr="000800FD" w:rsidRDefault="0069317E" w:rsidP="00E937C2">
      <w:pPr>
        <w:widowControl w:val="0"/>
        <w:autoSpaceDE w:val="0"/>
        <w:autoSpaceDN w:val="0"/>
        <w:adjustRightInd w:val="0"/>
        <w:jc w:val="both"/>
        <w:rPr>
          <w:rFonts w:ascii="Arial" w:hAnsi="Arial" w:cs="Arial"/>
        </w:rPr>
      </w:pPr>
      <w:r w:rsidRPr="000800FD">
        <w:rPr>
          <w:rFonts w:ascii="Arial" w:hAnsi="Arial" w:cs="Arial"/>
        </w:rPr>
        <w:t>Un VT</w:t>
      </w:r>
      <w:r w:rsidR="00B41350" w:rsidRPr="000800FD">
        <w:rPr>
          <w:rFonts w:ascii="Arial" w:hAnsi="Arial" w:cs="Arial"/>
        </w:rPr>
        <w:t xml:space="preserve">M est impliqué dans un accident de la circulation dès lors qu’il a joué un rôle quelconque dans sa réalisation. </w:t>
      </w:r>
    </w:p>
    <w:p w14:paraId="1D52323D" w14:textId="77777777" w:rsidR="00B41350" w:rsidRPr="000800FD" w:rsidRDefault="00B41350" w:rsidP="00E937C2">
      <w:pPr>
        <w:widowControl w:val="0"/>
        <w:autoSpaceDE w:val="0"/>
        <w:autoSpaceDN w:val="0"/>
        <w:adjustRightInd w:val="0"/>
        <w:jc w:val="both"/>
        <w:rPr>
          <w:rFonts w:ascii="Arial" w:hAnsi="Arial" w:cs="Arial"/>
        </w:rPr>
      </w:pPr>
      <w:r w:rsidRPr="000800FD">
        <w:rPr>
          <w:rFonts w:ascii="Arial" w:hAnsi="Arial" w:cs="Arial"/>
        </w:rPr>
        <w:t>M. X... a perdu le contrôle de sa motocyclette alors qu'il dépassait un tracteur appartenant au conseil général du territoire de Belfort, qui procédait au fauchage du bas côté de la route ; il souhaite obtenir la réparation de ses préjudices.</w:t>
      </w:r>
    </w:p>
    <w:p w14:paraId="372325D4" w14:textId="77777777" w:rsidR="00B41350" w:rsidRPr="000800FD" w:rsidRDefault="00B41350" w:rsidP="00E937C2">
      <w:pPr>
        <w:widowControl w:val="0"/>
        <w:autoSpaceDE w:val="0"/>
        <w:autoSpaceDN w:val="0"/>
        <w:adjustRightInd w:val="0"/>
        <w:jc w:val="both"/>
        <w:rPr>
          <w:rFonts w:ascii="Arial" w:hAnsi="Arial" w:cs="Arial"/>
        </w:rPr>
      </w:pPr>
      <w:r w:rsidRPr="000800FD">
        <w:rPr>
          <w:rFonts w:ascii="Arial" w:hAnsi="Arial" w:cs="Arial"/>
        </w:rPr>
        <w:t>L'arrêt de la cour d’appel avait retenu que la victime devait démontrer que le véhicule avec lequel il n'y a eu aucun contact avait eu un comportement perturbateur. La Cour de cassation casse et annule l’arrêt au motif que la cour d’appel « a ajouté une condition à la loi ».</w:t>
      </w:r>
    </w:p>
    <w:p w14:paraId="723E908A" w14:textId="5E83CA44" w:rsidR="00B41350" w:rsidRPr="0022540E" w:rsidRDefault="001F4F39" w:rsidP="00B41350">
      <w:pPr>
        <w:rPr>
          <w:rFonts w:ascii="Arial" w:hAnsi="Arial" w:cs="Arial"/>
          <w:color w:val="040404"/>
          <w:sz w:val="16"/>
          <w:szCs w:val="16"/>
        </w:rPr>
      </w:pPr>
      <w:hyperlink r:id="rId16" w:history="1">
        <w:r w:rsidR="0022540E" w:rsidRPr="0022540E">
          <w:rPr>
            <w:rStyle w:val="Lienhypertexte"/>
            <w:rFonts w:ascii="Arial" w:hAnsi="Arial" w:cs="Arial"/>
            <w:sz w:val="16"/>
            <w:szCs w:val="16"/>
          </w:rPr>
          <w:t>https://www.legifrance.gouv.fr/affichJuriJudi.do?oldAction=rechJuriJudi&amp;idTexte=JURITEXT000034141900&amp;fastReqId=1277608908&amp;fastPos=1</w:t>
        </w:r>
      </w:hyperlink>
    </w:p>
    <w:p w14:paraId="424D8E51" w14:textId="77777777" w:rsidR="0022540E" w:rsidRDefault="0022540E" w:rsidP="00B41350">
      <w:pPr>
        <w:rPr>
          <w:rFonts w:ascii="Arial" w:hAnsi="Arial" w:cs="Arial"/>
          <w:color w:val="040404"/>
        </w:rPr>
      </w:pPr>
    </w:p>
    <w:p w14:paraId="653BE203"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484A019E" w14:textId="03BACE16" w:rsidR="00EC1182" w:rsidRPr="00F42FA7" w:rsidRDefault="00EC1182" w:rsidP="00F42FA7">
      <w:pPr>
        <w:pStyle w:val="Sansinterligne"/>
        <w:jc w:val="both"/>
        <w:rPr>
          <w:rFonts w:ascii="Arial" w:hAnsi="Arial" w:cs="Arial"/>
          <w:color w:val="FF0000"/>
          <w:sz w:val="20"/>
          <w:szCs w:val="20"/>
        </w:rPr>
      </w:pPr>
      <w:r>
        <w:rPr>
          <w:rFonts w:ascii="Arial" w:hAnsi="Arial" w:cs="Arial"/>
          <w:color w:val="FF0000"/>
          <w:sz w:val="20"/>
          <w:szCs w:val="20"/>
        </w:rPr>
        <w:t>Terminale</w:t>
      </w:r>
      <w:r w:rsidR="00B41350">
        <w:rPr>
          <w:rFonts w:ascii="Arial" w:hAnsi="Arial" w:cs="Arial"/>
          <w:color w:val="FF0000"/>
          <w:sz w:val="20"/>
          <w:szCs w:val="20"/>
        </w:rPr>
        <w:t xml:space="preserve"> STMG – </w:t>
      </w:r>
      <w:r>
        <w:rPr>
          <w:rFonts w:ascii="Arial" w:hAnsi="Arial" w:cs="Arial"/>
          <w:color w:val="FF0000"/>
          <w:sz w:val="20"/>
          <w:szCs w:val="20"/>
        </w:rPr>
        <w:t xml:space="preserve">Thème 6 : </w:t>
      </w:r>
      <w:r w:rsidRPr="00EC1182">
        <w:rPr>
          <w:rFonts w:ascii="Arial" w:hAnsi="Arial" w:cs="Arial"/>
          <w:color w:val="FF0000"/>
          <w:sz w:val="20"/>
          <w:szCs w:val="20"/>
        </w:rPr>
        <w:t>Qu’est-ce qu’être responsable ? La réparation</w:t>
      </w:r>
      <w:r>
        <w:rPr>
          <w:rFonts w:ascii="Arial" w:hAnsi="Arial" w:cs="Arial"/>
          <w:color w:val="FF0000"/>
          <w:sz w:val="20"/>
          <w:szCs w:val="20"/>
        </w:rPr>
        <w:t>.</w:t>
      </w:r>
    </w:p>
    <w:p w14:paraId="514EDD69" w14:textId="5636630A" w:rsidR="00B41350" w:rsidRDefault="00B41350" w:rsidP="0022540E">
      <w:pPr>
        <w:pStyle w:val="Sansinterligne"/>
        <w:jc w:val="both"/>
        <w:rPr>
          <w:rFonts w:ascii="Arial" w:hAnsi="Arial" w:cs="Arial"/>
          <w:color w:val="FF0000"/>
          <w:sz w:val="20"/>
          <w:szCs w:val="20"/>
        </w:rPr>
      </w:pPr>
    </w:p>
    <w:p w14:paraId="3D935FE5" w14:textId="77777777" w:rsidR="00B41350" w:rsidRPr="0096637D" w:rsidRDefault="00B41350" w:rsidP="000800FD">
      <w:pPr>
        <w:pStyle w:val="Sansinterligne"/>
        <w:jc w:val="both"/>
        <w:rPr>
          <w:rFonts w:ascii="Arial" w:hAnsi="Arial" w:cs="Arial"/>
          <w:color w:val="FF0000"/>
          <w:sz w:val="20"/>
          <w:szCs w:val="20"/>
        </w:rPr>
      </w:pPr>
    </w:p>
    <w:p w14:paraId="006015C4" w14:textId="7C53A5B3" w:rsidR="00964F6A" w:rsidRPr="00964F6A" w:rsidRDefault="00964F6A" w:rsidP="00964F6A">
      <w:pPr>
        <w:pStyle w:val="Paragraphedeliste"/>
        <w:widowControl w:val="0"/>
        <w:autoSpaceDE w:val="0"/>
        <w:autoSpaceDN w:val="0"/>
        <w:adjustRightInd w:val="0"/>
        <w:jc w:val="both"/>
        <w:rPr>
          <w:rFonts w:ascii="Arial" w:hAnsi="Arial" w:cs="Arial"/>
          <w:b/>
          <w:bCs/>
        </w:rPr>
      </w:pPr>
      <w:r>
        <w:rPr>
          <w:rFonts w:ascii="Arial" w:hAnsi="Arial" w:cs="Arial"/>
          <w:b/>
          <w:bCs/>
        </w:rPr>
        <w:t xml:space="preserve">* Responsabilité du fait des choses </w:t>
      </w:r>
    </w:p>
    <w:p w14:paraId="4EDA9781" w14:textId="73BF43A0" w:rsidR="00CC1C46" w:rsidRPr="00B96862" w:rsidRDefault="00CC1C46" w:rsidP="00CC1C46">
      <w:pPr>
        <w:widowControl w:val="0"/>
        <w:autoSpaceDE w:val="0"/>
        <w:autoSpaceDN w:val="0"/>
        <w:adjustRightInd w:val="0"/>
        <w:jc w:val="both"/>
        <w:rPr>
          <w:rFonts w:ascii="Arial" w:hAnsi="Arial" w:cs="Arial"/>
          <w:bCs/>
        </w:rPr>
      </w:pPr>
      <w:r w:rsidRPr="00B96862">
        <w:rPr>
          <w:rFonts w:ascii="Arial" w:hAnsi="Arial" w:cs="Arial"/>
          <w:bCs/>
        </w:rPr>
        <w:t>Cour de cassation, chambre civile 1</w:t>
      </w:r>
      <w:r w:rsidRPr="00B96862">
        <w:rPr>
          <w:rFonts w:ascii="Arial" w:hAnsi="Arial" w:cs="Arial"/>
          <w:bCs/>
          <w:vertAlign w:val="superscript"/>
        </w:rPr>
        <w:t>ère</w:t>
      </w:r>
      <w:r w:rsidRPr="00B96862">
        <w:rPr>
          <w:rFonts w:ascii="Arial" w:hAnsi="Arial" w:cs="Arial"/>
          <w:bCs/>
        </w:rPr>
        <w:t>, 15 mars 2017, n° 15-27740</w:t>
      </w:r>
    </w:p>
    <w:p w14:paraId="0EAB1144" w14:textId="74ADF80B" w:rsidR="00964F6A" w:rsidRPr="00B96862" w:rsidRDefault="00964F6A" w:rsidP="00964F6A">
      <w:pPr>
        <w:widowControl w:val="0"/>
        <w:autoSpaceDE w:val="0"/>
        <w:autoSpaceDN w:val="0"/>
        <w:adjustRightInd w:val="0"/>
        <w:jc w:val="both"/>
        <w:rPr>
          <w:rFonts w:ascii="Arial" w:hAnsi="Arial" w:cs="Arial"/>
        </w:rPr>
      </w:pPr>
      <w:r w:rsidRPr="00B96862">
        <w:rPr>
          <w:rFonts w:ascii="Arial" w:hAnsi="Arial" w:cs="Arial"/>
        </w:rPr>
        <w:t>Une</w:t>
      </w:r>
      <w:r w:rsidR="00CC1C46" w:rsidRPr="00B96862">
        <w:rPr>
          <w:rFonts w:ascii="Arial" w:hAnsi="Arial" w:cs="Arial"/>
        </w:rPr>
        <w:t xml:space="preserve"> société </w:t>
      </w:r>
      <w:r w:rsidRPr="00B96862">
        <w:rPr>
          <w:rFonts w:ascii="Arial" w:hAnsi="Arial" w:cs="Arial"/>
        </w:rPr>
        <w:t>a fabriqué et fourni une prothèse de hanche, qui a</w:t>
      </w:r>
      <w:r w:rsidR="00CC1C46" w:rsidRPr="00B96862">
        <w:rPr>
          <w:rFonts w:ascii="Arial" w:hAnsi="Arial" w:cs="Arial"/>
        </w:rPr>
        <w:t xml:space="preserve"> été posée </w:t>
      </w:r>
      <w:r w:rsidRPr="00B96862">
        <w:rPr>
          <w:rFonts w:ascii="Arial" w:hAnsi="Arial" w:cs="Arial"/>
        </w:rPr>
        <w:t>sur M. X..</w:t>
      </w:r>
      <w:r w:rsidR="0022540E" w:rsidRPr="00B96862">
        <w:rPr>
          <w:rFonts w:ascii="Arial" w:hAnsi="Arial" w:cs="Arial"/>
        </w:rPr>
        <w:t>. et qui</w:t>
      </w:r>
      <w:r w:rsidR="00CC1C46" w:rsidRPr="00B96862">
        <w:rPr>
          <w:rFonts w:ascii="Arial" w:hAnsi="Arial" w:cs="Arial"/>
        </w:rPr>
        <w:t xml:space="preserve"> </w:t>
      </w:r>
      <w:r w:rsidRPr="00B96862">
        <w:rPr>
          <w:rFonts w:ascii="Arial" w:hAnsi="Arial" w:cs="Arial"/>
        </w:rPr>
        <w:t xml:space="preserve">s'est rompue </w:t>
      </w:r>
      <w:r w:rsidR="00CC1C46" w:rsidRPr="00B96862">
        <w:rPr>
          <w:rFonts w:ascii="Arial" w:hAnsi="Arial" w:cs="Arial"/>
        </w:rPr>
        <w:t xml:space="preserve">plusieurs mois plus tard </w:t>
      </w:r>
      <w:r w:rsidRPr="00B96862">
        <w:rPr>
          <w:rFonts w:ascii="Arial" w:hAnsi="Arial" w:cs="Arial"/>
        </w:rPr>
        <w:t>; la société a été condamnée à payer diverses somme</w:t>
      </w:r>
      <w:r w:rsidR="00CC1C46" w:rsidRPr="00B96862">
        <w:rPr>
          <w:rFonts w:ascii="Arial" w:hAnsi="Arial" w:cs="Arial"/>
        </w:rPr>
        <w:t xml:space="preserve">s à l'employeur de M. X... ; </w:t>
      </w:r>
      <w:r w:rsidR="0022540E" w:rsidRPr="00B96862">
        <w:rPr>
          <w:rFonts w:ascii="Arial" w:hAnsi="Arial" w:cs="Arial"/>
        </w:rPr>
        <w:t>elle a</w:t>
      </w:r>
      <w:r w:rsidR="00CC1C46" w:rsidRPr="00B96862">
        <w:rPr>
          <w:rFonts w:ascii="Arial" w:hAnsi="Arial" w:cs="Arial"/>
        </w:rPr>
        <w:t xml:space="preserve"> assigné une autre société</w:t>
      </w:r>
      <w:r w:rsidRPr="00B96862">
        <w:rPr>
          <w:rFonts w:ascii="Arial" w:hAnsi="Arial" w:cs="Arial"/>
        </w:rPr>
        <w:t xml:space="preserve">, </w:t>
      </w:r>
      <w:r w:rsidR="00CC1C46" w:rsidRPr="00B96862">
        <w:rPr>
          <w:rFonts w:ascii="Arial" w:hAnsi="Arial" w:cs="Arial"/>
        </w:rPr>
        <w:t>« </w:t>
      </w:r>
      <w:r w:rsidRPr="00B96862">
        <w:rPr>
          <w:rFonts w:ascii="Arial" w:hAnsi="Arial" w:cs="Arial"/>
        </w:rPr>
        <w:t xml:space="preserve">en sa qualité de fabricant de la tête en céramique de la prothèse, aux fins de la voir condamner à lui rembourser les sommes versées </w:t>
      </w:r>
      <w:r w:rsidR="00CC1C46" w:rsidRPr="00B96862">
        <w:rPr>
          <w:rFonts w:ascii="Arial" w:hAnsi="Arial" w:cs="Arial"/>
        </w:rPr>
        <w:t>à la victime et à son employeur ».</w:t>
      </w:r>
    </w:p>
    <w:p w14:paraId="53C20950" w14:textId="76D985B7" w:rsidR="00964F6A" w:rsidRPr="00B96862" w:rsidRDefault="00964F6A" w:rsidP="00964F6A">
      <w:pPr>
        <w:widowControl w:val="0"/>
        <w:autoSpaceDE w:val="0"/>
        <w:autoSpaceDN w:val="0"/>
        <w:adjustRightInd w:val="0"/>
        <w:jc w:val="both"/>
        <w:rPr>
          <w:rFonts w:ascii="Arial" w:hAnsi="Arial" w:cs="Arial"/>
        </w:rPr>
      </w:pPr>
      <w:r w:rsidRPr="00B96862">
        <w:rPr>
          <w:rFonts w:ascii="Arial" w:hAnsi="Arial" w:cs="Arial"/>
        </w:rPr>
        <w:t xml:space="preserve">La cour de cassation précise que </w:t>
      </w:r>
      <w:r w:rsidR="00CC1C46" w:rsidRPr="00B96862">
        <w:rPr>
          <w:rFonts w:ascii="Arial" w:hAnsi="Arial" w:cs="Arial"/>
        </w:rPr>
        <w:t xml:space="preserve">« le recours de l’article 1245-6 ne s’applique qu’au </w:t>
      </w:r>
      <w:r w:rsidR="00CC1C46" w:rsidRPr="00B96862">
        <w:rPr>
          <w:rFonts w:ascii="Arial" w:hAnsi="Arial" w:cs="Arial"/>
        </w:rPr>
        <w:lastRenderedPageBreak/>
        <w:t xml:space="preserve">fournisseur et non au </w:t>
      </w:r>
      <w:proofErr w:type="spellStart"/>
      <w:r w:rsidR="00CC1C46" w:rsidRPr="00B96862">
        <w:rPr>
          <w:rFonts w:ascii="Arial" w:hAnsi="Arial" w:cs="Arial"/>
        </w:rPr>
        <w:t>co-producteur</w:t>
      </w:r>
      <w:proofErr w:type="spellEnd"/>
      <w:r w:rsidR="00CC1C46" w:rsidRPr="00B96862">
        <w:rPr>
          <w:rFonts w:ascii="Arial" w:hAnsi="Arial" w:cs="Arial"/>
        </w:rPr>
        <w:t> ». Selon la Cour, cet article « est réservé au fournisseur dont la responsabilité de plein droit a été engagée en raison du défaut d'identification du producteur ».</w:t>
      </w:r>
    </w:p>
    <w:p w14:paraId="08D879B3" w14:textId="50FF8D38" w:rsidR="00964F6A" w:rsidRPr="0022540E" w:rsidRDefault="001F4F39" w:rsidP="00CC1C46">
      <w:pPr>
        <w:widowControl w:val="0"/>
        <w:autoSpaceDE w:val="0"/>
        <w:autoSpaceDN w:val="0"/>
        <w:adjustRightInd w:val="0"/>
        <w:rPr>
          <w:rFonts w:ascii="Arial" w:hAnsi="Arial" w:cs="Arial"/>
          <w:sz w:val="18"/>
          <w:szCs w:val="18"/>
        </w:rPr>
      </w:pPr>
      <w:hyperlink r:id="rId17" w:history="1">
        <w:r w:rsidR="0022540E" w:rsidRPr="0022540E">
          <w:rPr>
            <w:rStyle w:val="Lienhypertexte"/>
            <w:rFonts w:ascii="Arial" w:hAnsi="Arial" w:cs="Arial"/>
            <w:sz w:val="18"/>
            <w:szCs w:val="18"/>
          </w:rPr>
          <w:t>https://www.legifrance.gouv.fr/affichJuriJudi.do?oldAction=rechJuriJudi&amp;idTexte=JURITEXT000034214736&amp;fastReqId=1778966152&amp;fastPos=1</w:t>
        </w:r>
      </w:hyperlink>
    </w:p>
    <w:p w14:paraId="5111B5E1" w14:textId="77777777" w:rsidR="0022540E" w:rsidRPr="00CC1C46" w:rsidRDefault="0022540E" w:rsidP="00CC1C46">
      <w:pPr>
        <w:widowControl w:val="0"/>
        <w:autoSpaceDE w:val="0"/>
        <w:autoSpaceDN w:val="0"/>
        <w:adjustRightInd w:val="0"/>
        <w:rPr>
          <w:rFonts w:ascii="Arial" w:hAnsi="Arial" w:cs="Arial"/>
          <w:sz w:val="25"/>
          <w:szCs w:val="25"/>
        </w:rPr>
      </w:pPr>
    </w:p>
    <w:p w14:paraId="6B7205FE" w14:textId="77777777" w:rsidR="009341D6" w:rsidRPr="00657FE2" w:rsidRDefault="009341D6" w:rsidP="009341D6">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1393834C" w14:textId="71620138" w:rsidR="00B41350" w:rsidRPr="00283E27" w:rsidRDefault="00B41350" w:rsidP="00283E27">
      <w:pPr>
        <w:pStyle w:val="Sansinterligne"/>
        <w:jc w:val="both"/>
        <w:rPr>
          <w:rFonts w:ascii="Arial" w:hAnsi="Arial" w:cs="Arial"/>
          <w:color w:val="FF0000"/>
          <w:sz w:val="20"/>
          <w:szCs w:val="20"/>
        </w:rPr>
      </w:pPr>
      <w:r w:rsidRPr="00283E27">
        <w:rPr>
          <w:rFonts w:ascii="Arial" w:hAnsi="Arial" w:cs="Arial"/>
          <w:color w:val="FF0000"/>
          <w:sz w:val="20"/>
          <w:szCs w:val="20"/>
        </w:rPr>
        <w:t>Terminale STMG</w:t>
      </w:r>
      <w:r w:rsidR="00283E27" w:rsidRPr="00283E27">
        <w:rPr>
          <w:rFonts w:ascii="Arial" w:hAnsi="Arial" w:cs="Arial"/>
          <w:color w:val="FF0000"/>
          <w:sz w:val="20"/>
          <w:szCs w:val="20"/>
        </w:rPr>
        <w:t xml:space="preserve"> – Thème 6 : Qu’est-ce qu’être responsable ? La réparation</w:t>
      </w:r>
    </w:p>
    <w:p w14:paraId="105CDAA9" w14:textId="25914416" w:rsidR="009341D6" w:rsidRPr="00F42FA7" w:rsidRDefault="009341D6" w:rsidP="00F42FA7">
      <w:pPr>
        <w:pStyle w:val="Sansinterligne"/>
        <w:jc w:val="both"/>
        <w:rPr>
          <w:rFonts w:ascii="Arial" w:hAnsi="Arial" w:cs="Arial"/>
          <w:color w:val="FF0000"/>
          <w:sz w:val="20"/>
          <w:szCs w:val="20"/>
        </w:rPr>
      </w:pPr>
      <w:r>
        <w:rPr>
          <w:rFonts w:ascii="Arial" w:hAnsi="Arial" w:cs="Arial"/>
          <w:color w:val="FF0000"/>
          <w:sz w:val="20"/>
          <w:szCs w:val="20"/>
        </w:rPr>
        <w:t>STS 2</w:t>
      </w:r>
      <w:r w:rsidRPr="00F42FA7">
        <w:rPr>
          <w:rFonts w:ascii="Arial" w:hAnsi="Arial" w:cs="Arial"/>
          <w:color w:val="FF0000"/>
          <w:sz w:val="20"/>
          <w:szCs w:val="20"/>
        </w:rPr>
        <w:t>ème</w:t>
      </w:r>
      <w:r w:rsidR="00ED438E">
        <w:rPr>
          <w:rFonts w:ascii="Arial" w:hAnsi="Arial" w:cs="Arial"/>
          <w:color w:val="FF0000"/>
          <w:sz w:val="20"/>
          <w:szCs w:val="20"/>
        </w:rPr>
        <w:t xml:space="preserve"> année : Thème </w:t>
      </w:r>
      <w:r w:rsidR="003D01D4">
        <w:rPr>
          <w:rFonts w:ascii="Arial" w:hAnsi="Arial" w:cs="Arial"/>
          <w:color w:val="FF0000"/>
          <w:sz w:val="20"/>
          <w:szCs w:val="20"/>
        </w:rPr>
        <w:t xml:space="preserve">5 : l’entreprise face au risque  -  523. </w:t>
      </w:r>
      <w:r w:rsidR="00ED438E" w:rsidRPr="00ED438E">
        <w:rPr>
          <w:rFonts w:ascii="Arial" w:hAnsi="Arial" w:cs="Arial"/>
          <w:color w:val="FF0000"/>
          <w:sz w:val="20"/>
          <w:szCs w:val="20"/>
        </w:rPr>
        <w:t>Assumer le risque</w:t>
      </w:r>
      <w:r w:rsidR="00ED438E" w:rsidRPr="00F42FA7">
        <w:rPr>
          <w:rFonts w:ascii="Arial" w:hAnsi="Arial" w:cs="Arial"/>
          <w:color w:val="FF0000"/>
          <w:sz w:val="20"/>
          <w:szCs w:val="20"/>
        </w:rPr>
        <w:t xml:space="preserve"> </w:t>
      </w:r>
    </w:p>
    <w:p w14:paraId="47C3BB30" w14:textId="77777777" w:rsidR="00AD48FA" w:rsidRDefault="00AD48FA" w:rsidP="00AD48FA">
      <w:pPr>
        <w:widowControl w:val="0"/>
        <w:autoSpaceDE w:val="0"/>
        <w:autoSpaceDN w:val="0"/>
        <w:adjustRightInd w:val="0"/>
        <w:jc w:val="both"/>
        <w:rPr>
          <w:rFonts w:ascii="Arial" w:hAnsi="Arial" w:cs="Arial"/>
          <w:sz w:val="21"/>
          <w:szCs w:val="21"/>
          <w:vertAlign w:val="superscript"/>
        </w:rPr>
      </w:pPr>
    </w:p>
    <w:p w14:paraId="41C6EAF7" w14:textId="7D1B0EDA" w:rsidR="00B41350" w:rsidRPr="0022540E" w:rsidRDefault="0022540E" w:rsidP="0022540E">
      <w:pPr>
        <w:pStyle w:val="Paragraphedeliste"/>
        <w:widowControl w:val="0"/>
        <w:autoSpaceDE w:val="0"/>
        <w:autoSpaceDN w:val="0"/>
        <w:adjustRightInd w:val="0"/>
        <w:jc w:val="both"/>
        <w:rPr>
          <w:rFonts w:ascii="Arial" w:hAnsi="Arial" w:cs="Arial"/>
          <w:b/>
          <w:bCs/>
        </w:rPr>
      </w:pPr>
      <w:r>
        <w:rPr>
          <w:rFonts w:ascii="Arial" w:hAnsi="Arial" w:cs="Arial"/>
          <w:b/>
          <w:bCs/>
        </w:rPr>
        <w:t xml:space="preserve">* </w:t>
      </w:r>
      <w:hyperlink r:id="rId18" w:history="1">
        <w:r w:rsidR="00B41350" w:rsidRPr="0022540E">
          <w:rPr>
            <w:rFonts w:ascii="Arial" w:hAnsi="Arial" w:cs="Arial"/>
            <w:b/>
            <w:bCs/>
          </w:rPr>
          <w:t>Responsabilité du fait des produits défectueux : champ d’application</w:t>
        </w:r>
      </w:hyperlink>
    </w:p>
    <w:p w14:paraId="74BFEA62" w14:textId="5955DC69" w:rsidR="0022540E" w:rsidRPr="00B96862" w:rsidRDefault="0022540E" w:rsidP="00E937C2">
      <w:pPr>
        <w:widowControl w:val="0"/>
        <w:autoSpaceDE w:val="0"/>
        <w:autoSpaceDN w:val="0"/>
        <w:adjustRightInd w:val="0"/>
        <w:jc w:val="both"/>
        <w:rPr>
          <w:rFonts w:ascii="Arial" w:hAnsi="Arial" w:cs="Arial"/>
        </w:rPr>
      </w:pPr>
      <w:r w:rsidRPr="00B96862">
        <w:rPr>
          <w:rFonts w:ascii="Arial" w:hAnsi="Arial" w:cs="Arial"/>
        </w:rPr>
        <w:t>Cour de cassation, chambre civile 1</w:t>
      </w:r>
      <w:r w:rsidRPr="00B96862">
        <w:rPr>
          <w:rFonts w:ascii="Arial" w:hAnsi="Arial" w:cs="Arial"/>
          <w:vertAlign w:val="superscript"/>
        </w:rPr>
        <w:t>ère</w:t>
      </w:r>
      <w:r w:rsidRPr="00B96862">
        <w:rPr>
          <w:rFonts w:ascii="Arial" w:hAnsi="Arial" w:cs="Arial"/>
        </w:rPr>
        <w:t>, 11 janvier 2017</w:t>
      </w:r>
    </w:p>
    <w:p w14:paraId="0730D648" w14:textId="190C2D8A" w:rsidR="00B41350" w:rsidRPr="00B96862" w:rsidRDefault="0022540E" w:rsidP="00E937C2">
      <w:pPr>
        <w:widowControl w:val="0"/>
        <w:autoSpaceDE w:val="0"/>
        <w:autoSpaceDN w:val="0"/>
        <w:adjustRightInd w:val="0"/>
        <w:jc w:val="both"/>
        <w:rPr>
          <w:rFonts w:ascii="Arial" w:hAnsi="Arial" w:cs="Arial"/>
          <w:b/>
          <w:bCs/>
        </w:rPr>
      </w:pPr>
      <w:r w:rsidRPr="00B96862">
        <w:rPr>
          <w:rFonts w:ascii="Arial" w:hAnsi="Arial" w:cs="Arial"/>
        </w:rPr>
        <w:t>T</w:t>
      </w:r>
      <w:r w:rsidR="00B41350" w:rsidRPr="00B96862">
        <w:rPr>
          <w:rFonts w:ascii="Arial" w:hAnsi="Arial" w:cs="Arial"/>
        </w:rPr>
        <w:t>rois camions semi-remorques appartenant à diverses sociétés ont pris feu</w:t>
      </w:r>
      <w:r w:rsidRPr="00B96862">
        <w:rPr>
          <w:rFonts w:ascii="Arial" w:hAnsi="Arial" w:cs="Arial"/>
        </w:rPr>
        <w:t>. Ces dernières ont assigné le vendeur des camions, l’équipementier, vendeur des essieux portant sa marque et fabriqués par une autre société, dont étaient équipés les camions, ainsi que celle-ci, en responsabilité et indemnisation. Ces sociétés estiment que la réparation des dommages causés à une chose destinée à l'usage professionnel et utilisée pour cet usage ne relève pas du champ d'application de la directive 85/ 374/ CEE du Conseil, du 25 juillet 1985.</w:t>
      </w:r>
    </w:p>
    <w:p w14:paraId="779945BF" w14:textId="1EC164D8" w:rsidR="00B41350" w:rsidRPr="00B96862" w:rsidRDefault="0022540E" w:rsidP="00E937C2">
      <w:pPr>
        <w:widowControl w:val="0"/>
        <w:autoSpaceDE w:val="0"/>
        <w:autoSpaceDN w:val="0"/>
        <w:adjustRightInd w:val="0"/>
        <w:jc w:val="both"/>
        <w:rPr>
          <w:rFonts w:ascii="Arial" w:hAnsi="Arial" w:cs="Arial"/>
        </w:rPr>
      </w:pPr>
      <w:r w:rsidRPr="00B96862">
        <w:rPr>
          <w:rFonts w:ascii="Arial" w:hAnsi="Arial" w:cs="Arial"/>
        </w:rPr>
        <w:t>Selon la Cour, l</w:t>
      </w:r>
      <w:r w:rsidR="00B41350" w:rsidRPr="00B96862">
        <w:rPr>
          <w:rFonts w:ascii="Arial" w:hAnsi="Arial" w:cs="Arial"/>
        </w:rPr>
        <w:t>a directive sur la responsabilité des produits défectueux s’applique au producteur d’un produit affecté d’un défaut, quelle que</w:t>
      </w:r>
      <w:r w:rsidRPr="00B96862">
        <w:rPr>
          <w:rFonts w:ascii="Arial" w:hAnsi="Arial" w:cs="Arial"/>
        </w:rPr>
        <w:t xml:space="preserve"> soit la destination, privée ou </w:t>
      </w:r>
      <w:r w:rsidR="00B41350" w:rsidRPr="00B96862">
        <w:rPr>
          <w:rFonts w:ascii="Arial" w:hAnsi="Arial" w:cs="Arial"/>
        </w:rPr>
        <w:t>professionnelle de l’usage des produits.</w:t>
      </w:r>
    </w:p>
    <w:p w14:paraId="5E892102" w14:textId="1426C34A" w:rsidR="00B41350" w:rsidRDefault="001F4F39" w:rsidP="00B41350">
      <w:pPr>
        <w:rPr>
          <w:rFonts w:ascii="Arial" w:hAnsi="Arial" w:cs="Arial"/>
          <w:color w:val="040404"/>
          <w:sz w:val="16"/>
          <w:szCs w:val="16"/>
        </w:rPr>
      </w:pPr>
      <w:hyperlink r:id="rId19" w:history="1">
        <w:r w:rsidR="0022540E" w:rsidRPr="006F61B2">
          <w:rPr>
            <w:rStyle w:val="Lienhypertexte"/>
            <w:rFonts w:ascii="Arial" w:hAnsi="Arial" w:cs="Arial"/>
            <w:sz w:val="16"/>
            <w:szCs w:val="16"/>
          </w:rPr>
          <w:t>https://www.legifrance.gouv.fr/affichJuriJudi.do?oldAction=rechJuriJudi&amp;idTexte=JURITEXT000033880950&amp;fastReqId=1964497502&amp;fastPos=1</w:t>
        </w:r>
      </w:hyperlink>
    </w:p>
    <w:p w14:paraId="3703188B" w14:textId="77777777" w:rsidR="0022540E" w:rsidRPr="0022540E" w:rsidRDefault="0022540E" w:rsidP="00B41350">
      <w:pPr>
        <w:rPr>
          <w:rFonts w:ascii="Arial" w:hAnsi="Arial" w:cs="Arial"/>
          <w:color w:val="040404"/>
          <w:sz w:val="16"/>
          <w:szCs w:val="16"/>
        </w:rPr>
      </w:pPr>
    </w:p>
    <w:p w14:paraId="4DC428A9"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50E94582" w14:textId="3D3140D7" w:rsidR="004662FC" w:rsidRDefault="00B41350" w:rsidP="00F42FA7">
      <w:pPr>
        <w:pStyle w:val="Sansinterligne"/>
        <w:jc w:val="both"/>
        <w:rPr>
          <w:rFonts w:ascii="Arial" w:hAnsi="Arial" w:cs="Arial"/>
          <w:color w:val="FF0000"/>
          <w:sz w:val="20"/>
          <w:szCs w:val="20"/>
        </w:rPr>
      </w:pPr>
      <w:r>
        <w:rPr>
          <w:rFonts w:ascii="Arial" w:hAnsi="Arial" w:cs="Arial"/>
          <w:color w:val="FF0000"/>
          <w:sz w:val="20"/>
          <w:szCs w:val="20"/>
        </w:rPr>
        <w:t>STS 2</w:t>
      </w:r>
      <w:r w:rsidRPr="00F42FA7">
        <w:rPr>
          <w:rFonts w:ascii="Arial" w:hAnsi="Arial" w:cs="Arial"/>
          <w:color w:val="FF0000"/>
          <w:sz w:val="20"/>
          <w:szCs w:val="20"/>
        </w:rPr>
        <w:t>ème</w:t>
      </w:r>
      <w:r>
        <w:rPr>
          <w:rFonts w:ascii="Arial" w:hAnsi="Arial" w:cs="Arial"/>
          <w:color w:val="FF0000"/>
          <w:sz w:val="20"/>
          <w:szCs w:val="20"/>
        </w:rPr>
        <w:t xml:space="preserve"> année</w:t>
      </w:r>
      <w:r w:rsidR="00ED438E">
        <w:rPr>
          <w:rFonts w:ascii="Arial" w:hAnsi="Arial" w:cs="Arial"/>
          <w:color w:val="FF0000"/>
          <w:sz w:val="20"/>
          <w:szCs w:val="20"/>
        </w:rPr>
        <w:t xml:space="preserve"> : Thème </w:t>
      </w:r>
      <w:r w:rsidR="00B00D43">
        <w:rPr>
          <w:rFonts w:ascii="Arial" w:hAnsi="Arial" w:cs="Arial"/>
          <w:color w:val="FF0000"/>
          <w:sz w:val="20"/>
          <w:szCs w:val="20"/>
        </w:rPr>
        <w:t xml:space="preserve">5 : </w:t>
      </w:r>
      <w:r w:rsidR="003D01D4">
        <w:rPr>
          <w:rFonts w:ascii="Arial" w:hAnsi="Arial" w:cs="Arial"/>
          <w:color w:val="FF0000"/>
          <w:sz w:val="20"/>
          <w:szCs w:val="20"/>
        </w:rPr>
        <w:t>L’entreprise face au risque   –</w:t>
      </w:r>
      <w:r w:rsidR="00B00D43">
        <w:rPr>
          <w:rFonts w:ascii="Arial" w:hAnsi="Arial" w:cs="Arial"/>
          <w:color w:val="FF0000"/>
          <w:sz w:val="20"/>
          <w:szCs w:val="20"/>
        </w:rPr>
        <w:t xml:space="preserve"> </w:t>
      </w:r>
      <w:r w:rsidR="003D01D4">
        <w:rPr>
          <w:rFonts w:ascii="Arial" w:hAnsi="Arial" w:cs="Arial"/>
          <w:color w:val="FF0000"/>
          <w:sz w:val="20"/>
          <w:szCs w:val="20"/>
        </w:rPr>
        <w:t xml:space="preserve">  523.</w:t>
      </w:r>
      <w:r w:rsidR="00ED438E" w:rsidRPr="00ED438E">
        <w:rPr>
          <w:rFonts w:ascii="Arial" w:hAnsi="Arial" w:cs="Arial"/>
          <w:color w:val="FF0000"/>
          <w:sz w:val="20"/>
          <w:szCs w:val="20"/>
        </w:rPr>
        <w:t xml:space="preserve"> Assumer le risque</w:t>
      </w:r>
      <w:r w:rsidR="00ED438E" w:rsidRPr="00F42FA7">
        <w:rPr>
          <w:rFonts w:ascii="Arial" w:hAnsi="Arial" w:cs="Arial"/>
          <w:color w:val="FF0000"/>
          <w:sz w:val="20"/>
          <w:szCs w:val="20"/>
        </w:rPr>
        <w:t xml:space="preserve"> </w:t>
      </w:r>
    </w:p>
    <w:p w14:paraId="1A98C052" w14:textId="77777777" w:rsidR="00000D26" w:rsidRPr="00F42FA7" w:rsidRDefault="00000D26" w:rsidP="00F42FA7">
      <w:pPr>
        <w:pStyle w:val="Sansinterligne"/>
        <w:jc w:val="both"/>
        <w:rPr>
          <w:rFonts w:ascii="Arial" w:hAnsi="Arial" w:cs="Arial"/>
          <w:color w:val="FF0000"/>
          <w:sz w:val="20"/>
          <w:szCs w:val="20"/>
        </w:rPr>
      </w:pPr>
    </w:p>
    <w:p w14:paraId="15D2D5E5" w14:textId="412B9400" w:rsidR="003A506B" w:rsidRDefault="003A506B" w:rsidP="003A506B">
      <w:pPr>
        <w:pStyle w:val="Paragraphedeliste"/>
        <w:widowControl w:val="0"/>
        <w:autoSpaceDE w:val="0"/>
        <w:autoSpaceDN w:val="0"/>
        <w:adjustRightInd w:val="0"/>
        <w:ind w:left="1080"/>
        <w:jc w:val="both"/>
        <w:rPr>
          <w:rFonts w:ascii="Arial" w:hAnsi="Arial" w:cs="Arial"/>
          <w:b/>
          <w:bCs/>
          <w:color w:val="262626"/>
        </w:rPr>
      </w:pPr>
      <w:r>
        <w:rPr>
          <w:rFonts w:ascii="Arial" w:hAnsi="Arial" w:cs="Arial"/>
          <w:b/>
          <w:bCs/>
          <w:color w:val="262626"/>
        </w:rPr>
        <w:t xml:space="preserve">* </w:t>
      </w:r>
      <w:r w:rsidR="00E937C2" w:rsidRPr="00E937C2">
        <w:rPr>
          <w:rFonts w:ascii="Arial" w:hAnsi="Arial" w:cs="Arial"/>
          <w:b/>
          <w:bCs/>
          <w:color w:val="262626"/>
        </w:rPr>
        <w:t>Pratiques anticoncurrentielles</w:t>
      </w:r>
      <w:r>
        <w:rPr>
          <w:rFonts w:ascii="Arial" w:hAnsi="Arial" w:cs="Arial"/>
          <w:b/>
          <w:bCs/>
          <w:color w:val="262626"/>
        </w:rPr>
        <w:t> </w:t>
      </w:r>
    </w:p>
    <w:p w14:paraId="3AD7570F" w14:textId="77777777" w:rsidR="003A506B" w:rsidRDefault="003A506B" w:rsidP="003A506B">
      <w:pPr>
        <w:widowControl w:val="0"/>
        <w:autoSpaceDE w:val="0"/>
        <w:autoSpaceDN w:val="0"/>
        <w:adjustRightInd w:val="0"/>
        <w:jc w:val="both"/>
        <w:rPr>
          <w:rFonts w:ascii="Arial" w:hAnsi="Arial" w:cs="Arial"/>
          <w:b/>
          <w:bCs/>
          <w:color w:val="262626"/>
        </w:rPr>
      </w:pPr>
    </w:p>
    <w:p w14:paraId="11EFC85E" w14:textId="72339D6F" w:rsidR="00273C3C" w:rsidRPr="003A506B" w:rsidRDefault="003A506B" w:rsidP="003A506B">
      <w:pPr>
        <w:widowControl w:val="0"/>
        <w:autoSpaceDE w:val="0"/>
        <w:autoSpaceDN w:val="0"/>
        <w:adjustRightInd w:val="0"/>
        <w:jc w:val="both"/>
        <w:rPr>
          <w:rFonts w:ascii="Arial" w:hAnsi="Arial" w:cs="Arial"/>
          <w:b/>
          <w:bCs/>
          <w:color w:val="262626"/>
        </w:rPr>
      </w:pPr>
      <w:r>
        <w:rPr>
          <w:rFonts w:ascii="Arial" w:hAnsi="Arial" w:cs="Arial"/>
          <w:b/>
          <w:bCs/>
          <w:color w:val="262626"/>
        </w:rPr>
        <w:t>Abus de position dominante.</w:t>
      </w:r>
      <w:r w:rsidR="001A323A" w:rsidRPr="003A506B">
        <w:rPr>
          <w:rFonts w:ascii="Arial" w:hAnsi="Arial" w:cs="Arial"/>
          <w:b/>
          <w:bCs/>
          <w:color w:val="262626"/>
        </w:rPr>
        <w:t xml:space="preserve"> </w:t>
      </w:r>
    </w:p>
    <w:p w14:paraId="58255730" w14:textId="2EDDBFEB" w:rsidR="0040185E" w:rsidRPr="00B96862" w:rsidRDefault="003A506B" w:rsidP="0040185E">
      <w:pPr>
        <w:rPr>
          <w:rFonts w:ascii="Verdana" w:hAnsi="Verdana" w:cs="Verdana"/>
          <w:sz w:val="20"/>
          <w:szCs w:val="20"/>
        </w:rPr>
      </w:pPr>
      <w:r w:rsidRPr="00B96862">
        <w:rPr>
          <w:rFonts w:ascii="Arial" w:hAnsi="Arial" w:cs="Arial"/>
          <w:bCs/>
        </w:rPr>
        <w:t>Décision du 21 mars 2017</w:t>
      </w:r>
    </w:p>
    <w:p w14:paraId="0277625F" w14:textId="191EE313" w:rsidR="003A506B" w:rsidRPr="00B96862" w:rsidRDefault="003A506B" w:rsidP="004368D5">
      <w:pPr>
        <w:jc w:val="both"/>
        <w:rPr>
          <w:rFonts w:ascii="Arial" w:hAnsi="Arial" w:cs="Arial"/>
        </w:rPr>
      </w:pPr>
      <w:r w:rsidRPr="00B96862">
        <w:rPr>
          <w:rFonts w:ascii="Arial" w:hAnsi="Arial" w:cs="Arial"/>
        </w:rPr>
        <w:t xml:space="preserve">L'Autorité de la concurrence sanctionne ENGIE à hauteur de 100 millions d'euros pour avoir abusé de sa position dominante en s'appuyant notamment sur son fichier historique pour convertir ses clients aux tarifs réglementés du gaz à des offres de marché de gaz et d'électricité. </w:t>
      </w:r>
    </w:p>
    <w:p w14:paraId="1DB02611" w14:textId="7278CB69" w:rsidR="003A506B" w:rsidRDefault="001F4F39" w:rsidP="0040185E">
      <w:pPr>
        <w:rPr>
          <w:rFonts w:ascii="Arial" w:hAnsi="Arial" w:cs="Arial"/>
          <w:color w:val="0B2A4C"/>
          <w:sz w:val="16"/>
          <w:szCs w:val="16"/>
        </w:rPr>
      </w:pPr>
      <w:hyperlink r:id="rId20" w:history="1">
        <w:r w:rsidR="003A506B" w:rsidRPr="006F61B2">
          <w:rPr>
            <w:rStyle w:val="Lienhypertexte"/>
            <w:rFonts w:ascii="Arial" w:hAnsi="Arial" w:cs="Arial"/>
            <w:sz w:val="16"/>
            <w:szCs w:val="16"/>
          </w:rPr>
          <w:t>http://www.autoritedelaconcurrence.fr/user/avisdec.php?lang=fr&amp;numero=17-D-06</w:t>
        </w:r>
      </w:hyperlink>
    </w:p>
    <w:p w14:paraId="50FA1775" w14:textId="77777777" w:rsidR="003A506B" w:rsidRPr="003A506B" w:rsidRDefault="003A506B" w:rsidP="0040185E">
      <w:pPr>
        <w:rPr>
          <w:rFonts w:ascii="Arial" w:hAnsi="Arial" w:cs="Arial"/>
          <w:color w:val="0B2A4C"/>
          <w:sz w:val="16"/>
          <w:szCs w:val="16"/>
        </w:rPr>
      </w:pPr>
    </w:p>
    <w:p w14:paraId="1A6EEE4B" w14:textId="77777777" w:rsidR="003A506B" w:rsidRDefault="003A506B" w:rsidP="0040185E">
      <w:pPr>
        <w:rPr>
          <w:rFonts w:ascii="Arial" w:hAnsi="Arial" w:cs="Arial"/>
          <w:color w:val="0B2A4C"/>
        </w:rPr>
      </w:pPr>
    </w:p>
    <w:p w14:paraId="015CE2C0" w14:textId="77777777" w:rsidR="0069317E" w:rsidRPr="0069317E" w:rsidRDefault="0069317E" w:rsidP="0040185E">
      <w:pPr>
        <w:rPr>
          <w:rFonts w:ascii="Arial" w:hAnsi="Arial" w:cs="Arial"/>
          <w:b/>
          <w:color w:val="262626"/>
          <w:sz w:val="25"/>
          <w:szCs w:val="25"/>
        </w:rPr>
      </w:pPr>
      <w:r w:rsidRPr="0069317E">
        <w:rPr>
          <w:rFonts w:ascii="Arial" w:hAnsi="Arial" w:cs="Arial"/>
          <w:b/>
          <w:color w:val="262626"/>
          <w:sz w:val="25"/>
          <w:szCs w:val="25"/>
        </w:rPr>
        <w:t>Ententes</w:t>
      </w:r>
    </w:p>
    <w:p w14:paraId="4344A6FD" w14:textId="77777777" w:rsidR="0069317E" w:rsidRDefault="0069317E" w:rsidP="0040185E">
      <w:pPr>
        <w:rPr>
          <w:rFonts w:ascii="Arial" w:hAnsi="Arial" w:cs="Arial"/>
          <w:color w:val="262626"/>
          <w:sz w:val="25"/>
          <w:szCs w:val="25"/>
        </w:rPr>
      </w:pPr>
    </w:p>
    <w:p w14:paraId="73188185" w14:textId="4C824880" w:rsidR="006F0389" w:rsidRPr="004368D5" w:rsidRDefault="005528C1" w:rsidP="000800FD">
      <w:pPr>
        <w:rPr>
          <w:rFonts w:ascii="Arial" w:hAnsi="Arial" w:cs="Arial"/>
        </w:rPr>
      </w:pPr>
      <w:r w:rsidRPr="004368D5">
        <w:rPr>
          <w:rFonts w:ascii="Arial" w:hAnsi="Arial" w:cs="Arial"/>
        </w:rPr>
        <w:t>La CJUE</w:t>
      </w:r>
      <w:r w:rsidR="00E74686" w:rsidRPr="004368D5">
        <w:rPr>
          <w:rFonts w:ascii="Arial" w:hAnsi="Arial" w:cs="Arial"/>
        </w:rPr>
        <w:t xml:space="preserve"> </w:t>
      </w:r>
    </w:p>
    <w:p w14:paraId="424E6B03" w14:textId="00534368" w:rsidR="00964F6A" w:rsidRPr="00B96862" w:rsidRDefault="006F0389" w:rsidP="006F0389">
      <w:pPr>
        <w:jc w:val="both"/>
        <w:rPr>
          <w:rFonts w:ascii="Arial" w:hAnsi="Arial" w:cs="Arial"/>
        </w:rPr>
      </w:pPr>
      <w:r w:rsidRPr="00B96862">
        <w:rPr>
          <w:rFonts w:ascii="Arial" w:hAnsi="Arial" w:cs="Arial"/>
        </w:rPr>
        <w:t xml:space="preserve">- </w:t>
      </w:r>
      <w:r w:rsidR="00E74686" w:rsidRPr="00B96862">
        <w:rPr>
          <w:rFonts w:ascii="Arial" w:hAnsi="Arial" w:cs="Arial"/>
        </w:rPr>
        <w:t>maintient les amendes infligées à Samsun</w:t>
      </w:r>
      <w:r w:rsidRPr="00B96862">
        <w:rPr>
          <w:rFonts w:ascii="Arial" w:hAnsi="Arial" w:cs="Arial"/>
        </w:rPr>
        <w:t>g SDI pour sa</w:t>
      </w:r>
      <w:r w:rsidR="00E74686" w:rsidRPr="00B96862">
        <w:rPr>
          <w:rFonts w:ascii="Arial" w:hAnsi="Arial" w:cs="Arial"/>
        </w:rPr>
        <w:t xml:space="preserve"> participation à l’entente des tubes pour téléviseurs et pour écrans d’ordinateur. </w:t>
      </w:r>
    </w:p>
    <w:p w14:paraId="152622FA" w14:textId="3D242FE4" w:rsidR="006F0389" w:rsidRPr="00B96862" w:rsidRDefault="00964F6A" w:rsidP="000800FD">
      <w:pPr>
        <w:jc w:val="both"/>
        <w:rPr>
          <w:rFonts w:ascii="Arial" w:hAnsi="Arial" w:cs="Arial"/>
        </w:rPr>
      </w:pPr>
      <w:r w:rsidRPr="00B96862">
        <w:rPr>
          <w:rFonts w:ascii="Arial" w:hAnsi="Arial" w:cs="Arial"/>
          <w:i/>
          <w:iCs/>
        </w:rPr>
        <w:t>CJUE,</w:t>
      </w:r>
      <w:r w:rsidR="00E74686" w:rsidRPr="00B96862">
        <w:rPr>
          <w:rFonts w:ascii="Arial" w:hAnsi="Arial" w:cs="Arial"/>
          <w:i/>
          <w:iCs/>
        </w:rPr>
        <w:t xml:space="preserve"> 9 mars 2017, Samsung SDI </w:t>
      </w:r>
      <w:proofErr w:type="spellStart"/>
      <w:r w:rsidR="00E74686" w:rsidRPr="00B96862">
        <w:rPr>
          <w:rFonts w:ascii="Arial" w:hAnsi="Arial" w:cs="Arial"/>
          <w:i/>
          <w:iCs/>
        </w:rPr>
        <w:t>e.a</w:t>
      </w:r>
      <w:proofErr w:type="spellEnd"/>
      <w:r w:rsidR="00E74686" w:rsidRPr="00B96862">
        <w:rPr>
          <w:rFonts w:ascii="Arial" w:hAnsi="Arial" w:cs="Arial"/>
          <w:i/>
          <w:iCs/>
        </w:rPr>
        <w:t>. / Commission, C-615/15 P</w:t>
      </w:r>
      <w:r w:rsidR="00E74686" w:rsidRPr="00B96862">
        <w:rPr>
          <w:rFonts w:ascii="Arial" w:hAnsi="Arial" w:cs="Arial"/>
        </w:rPr>
        <w:t xml:space="preserve">. </w:t>
      </w:r>
    </w:p>
    <w:p w14:paraId="5C324060" w14:textId="6855E5F5" w:rsidR="00964F6A" w:rsidRPr="00B96862" w:rsidRDefault="006F0389" w:rsidP="006F0389">
      <w:pPr>
        <w:widowControl w:val="0"/>
        <w:tabs>
          <w:tab w:val="left" w:pos="220"/>
          <w:tab w:val="left" w:pos="720"/>
        </w:tabs>
        <w:autoSpaceDE w:val="0"/>
        <w:autoSpaceDN w:val="0"/>
        <w:adjustRightInd w:val="0"/>
        <w:jc w:val="both"/>
        <w:rPr>
          <w:rFonts w:ascii="Arial" w:hAnsi="Arial" w:cs="Arial"/>
        </w:rPr>
      </w:pPr>
      <w:r w:rsidRPr="00B96862">
        <w:rPr>
          <w:rFonts w:ascii="Arial" w:hAnsi="Arial" w:cs="Arial"/>
        </w:rPr>
        <w:t xml:space="preserve">- </w:t>
      </w:r>
      <w:r w:rsidR="005528C1" w:rsidRPr="00B96862">
        <w:rPr>
          <w:rFonts w:ascii="Arial" w:hAnsi="Arial" w:cs="Arial"/>
        </w:rPr>
        <w:t>confirme l’amende de 82 millions d</w:t>
      </w:r>
      <w:r w:rsidR="00964F6A" w:rsidRPr="00B96862">
        <w:rPr>
          <w:rFonts w:ascii="Arial" w:hAnsi="Arial" w:cs="Arial"/>
        </w:rPr>
        <w:t>’euros infl</w:t>
      </w:r>
      <w:r w:rsidR="00E937C2" w:rsidRPr="00B96862">
        <w:rPr>
          <w:rFonts w:ascii="Arial" w:hAnsi="Arial" w:cs="Arial"/>
        </w:rPr>
        <w:t xml:space="preserve">igée solidairement à Toshiba et </w:t>
      </w:r>
      <w:r w:rsidR="005528C1" w:rsidRPr="00B96862">
        <w:rPr>
          <w:rFonts w:ascii="Arial" w:hAnsi="Arial" w:cs="Arial"/>
        </w:rPr>
        <w:t xml:space="preserve">à Panasonic/MTPD pour leur participation à l’entente des tubes pour téléviseurs. </w:t>
      </w:r>
    </w:p>
    <w:p w14:paraId="252C43D9" w14:textId="304E0C0E" w:rsidR="00964F6A" w:rsidRPr="00B96862" w:rsidRDefault="00964F6A" w:rsidP="000800FD">
      <w:pPr>
        <w:widowControl w:val="0"/>
        <w:tabs>
          <w:tab w:val="left" w:pos="220"/>
          <w:tab w:val="left" w:pos="720"/>
        </w:tabs>
        <w:autoSpaceDE w:val="0"/>
        <w:autoSpaceDN w:val="0"/>
        <w:adjustRightInd w:val="0"/>
        <w:jc w:val="both"/>
        <w:rPr>
          <w:rFonts w:ascii="Arial" w:hAnsi="Arial" w:cs="Arial"/>
        </w:rPr>
      </w:pPr>
      <w:r w:rsidRPr="00B96862">
        <w:rPr>
          <w:rFonts w:ascii="Arial" w:hAnsi="Arial" w:cs="Arial"/>
          <w:i/>
          <w:iCs/>
        </w:rPr>
        <w:t xml:space="preserve">CJUE, </w:t>
      </w:r>
      <w:r w:rsidR="005528C1" w:rsidRPr="00B96862">
        <w:rPr>
          <w:rFonts w:ascii="Arial" w:hAnsi="Arial" w:cs="Arial"/>
          <w:i/>
          <w:iCs/>
        </w:rPr>
        <w:t>18 janvier 2017, Toshiba / Commission, C-623/15 P</w:t>
      </w:r>
      <w:r w:rsidR="005528C1" w:rsidRPr="00B96862">
        <w:rPr>
          <w:rFonts w:ascii="Arial" w:hAnsi="Arial" w:cs="Arial"/>
        </w:rPr>
        <w:t xml:space="preserve">. </w:t>
      </w:r>
    </w:p>
    <w:p w14:paraId="0F158CF2" w14:textId="3D1A2DFC" w:rsidR="00964F6A" w:rsidRPr="00B96862" w:rsidRDefault="006F0389" w:rsidP="006F0389">
      <w:pPr>
        <w:widowControl w:val="0"/>
        <w:tabs>
          <w:tab w:val="left" w:pos="220"/>
          <w:tab w:val="left" w:pos="709"/>
        </w:tabs>
        <w:autoSpaceDE w:val="0"/>
        <w:autoSpaceDN w:val="0"/>
        <w:adjustRightInd w:val="0"/>
        <w:jc w:val="both"/>
        <w:rPr>
          <w:rFonts w:ascii="Arial" w:hAnsi="Arial" w:cs="Arial"/>
        </w:rPr>
      </w:pPr>
      <w:r w:rsidRPr="00B96862">
        <w:rPr>
          <w:rFonts w:ascii="Arial" w:hAnsi="Arial" w:cs="Arial"/>
        </w:rPr>
        <w:t xml:space="preserve">- </w:t>
      </w:r>
      <w:r w:rsidR="00964F6A" w:rsidRPr="00B96862">
        <w:rPr>
          <w:rFonts w:ascii="Arial" w:hAnsi="Arial" w:cs="Arial"/>
        </w:rPr>
        <w:t>confirme l’amende de près de 60 millions d’eu</w:t>
      </w:r>
      <w:r w:rsidRPr="00B96862">
        <w:rPr>
          <w:rFonts w:ascii="Arial" w:hAnsi="Arial" w:cs="Arial"/>
        </w:rPr>
        <w:t xml:space="preserve">ros infligée au groupe </w:t>
      </w:r>
      <w:proofErr w:type="spellStart"/>
      <w:r w:rsidRPr="00B96862">
        <w:rPr>
          <w:rFonts w:ascii="Arial" w:hAnsi="Arial" w:cs="Arial"/>
        </w:rPr>
        <w:t>Roullier</w:t>
      </w:r>
      <w:proofErr w:type="spellEnd"/>
      <w:r w:rsidRPr="00B96862">
        <w:rPr>
          <w:rFonts w:ascii="Arial" w:hAnsi="Arial" w:cs="Arial"/>
        </w:rPr>
        <w:t xml:space="preserve">   </w:t>
      </w:r>
      <w:r w:rsidR="00964F6A" w:rsidRPr="00B96862">
        <w:rPr>
          <w:rFonts w:ascii="Arial" w:hAnsi="Arial" w:cs="Arial"/>
        </w:rPr>
        <w:t xml:space="preserve">dans le cadre de l’entente sur les phosphates. </w:t>
      </w:r>
    </w:p>
    <w:p w14:paraId="21350747" w14:textId="73738CA6" w:rsidR="005528C1" w:rsidRPr="00075D3E" w:rsidRDefault="00964F6A" w:rsidP="00075D3E">
      <w:pPr>
        <w:widowControl w:val="0"/>
        <w:tabs>
          <w:tab w:val="left" w:pos="220"/>
          <w:tab w:val="left" w:pos="720"/>
        </w:tabs>
        <w:autoSpaceDE w:val="0"/>
        <w:autoSpaceDN w:val="0"/>
        <w:adjustRightInd w:val="0"/>
        <w:jc w:val="both"/>
        <w:rPr>
          <w:rFonts w:ascii="Arial" w:hAnsi="Arial" w:cs="Arial"/>
        </w:rPr>
      </w:pPr>
      <w:r w:rsidRPr="00B96862">
        <w:rPr>
          <w:rFonts w:ascii="Arial" w:hAnsi="Arial" w:cs="Arial"/>
          <w:i/>
          <w:iCs/>
        </w:rPr>
        <w:t xml:space="preserve">CJUE, 12 janvier 2017, </w:t>
      </w:r>
      <w:proofErr w:type="spellStart"/>
      <w:r w:rsidRPr="00B96862">
        <w:rPr>
          <w:rFonts w:ascii="Arial" w:hAnsi="Arial" w:cs="Arial"/>
          <w:i/>
          <w:iCs/>
        </w:rPr>
        <w:t>Timab</w:t>
      </w:r>
      <w:proofErr w:type="spellEnd"/>
      <w:r w:rsidRPr="00B96862">
        <w:rPr>
          <w:rFonts w:ascii="Arial" w:hAnsi="Arial" w:cs="Arial"/>
          <w:i/>
          <w:iCs/>
        </w:rPr>
        <w:t xml:space="preserve"> Industries et CFPR / Commission, C-411/15 P</w:t>
      </w:r>
      <w:r w:rsidRPr="00B96862">
        <w:rPr>
          <w:rFonts w:ascii="Arial" w:hAnsi="Arial" w:cs="Arial"/>
        </w:rPr>
        <w:t xml:space="preserve">. </w:t>
      </w:r>
    </w:p>
    <w:p w14:paraId="782C01BE" w14:textId="1CACB820" w:rsidR="005528C1" w:rsidRDefault="001F4F39" w:rsidP="00964F6A">
      <w:pPr>
        <w:widowControl w:val="0"/>
        <w:numPr>
          <w:ilvl w:val="0"/>
          <w:numId w:val="1"/>
        </w:numPr>
        <w:tabs>
          <w:tab w:val="left" w:pos="220"/>
          <w:tab w:val="left" w:pos="720"/>
        </w:tabs>
        <w:autoSpaceDE w:val="0"/>
        <w:autoSpaceDN w:val="0"/>
        <w:adjustRightInd w:val="0"/>
        <w:ind w:hanging="720"/>
        <w:rPr>
          <w:rFonts w:ascii="Arial" w:hAnsi="Arial" w:cs="Arial"/>
          <w:color w:val="262626"/>
          <w:sz w:val="16"/>
          <w:szCs w:val="16"/>
        </w:rPr>
      </w:pPr>
      <w:hyperlink r:id="rId21" w:history="1">
        <w:r w:rsidR="00E937C2" w:rsidRPr="006F61B2">
          <w:rPr>
            <w:rStyle w:val="Lienhypertexte"/>
            <w:rFonts w:ascii="Arial" w:hAnsi="Arial" w:cs="Arial"/>
            <w:sz w:val="16"/>
            <w:szCs w:val="16"/>
          </w:rPr>
          <w:t>https://www.legifrance.gouv.fr/Droit-europeen/Actualite/Jurisprudence/Jurisprudence-2017</w:t>
        </w:r>
      </w:hyperlink>
    </w:p>
    <w:p w14:paraId="5A3F3B86" w14:textId="5866F5DE" w:rsidR="00E74686" w:rsidRPr="00E937C2" w:rsidRDefault="00E74686" w:rsidP="00E937C2">
      <w:pPr>
        <w:widowControl w:val="0"/>
        <w:numPr>
          <w:ilvl w:val="0"/>
          <w:numId w:val="1"/>
        </w:numPr>
        <w:tabs>
          <w:tab w:val="left" w:pos="220"/>
          <w:tab w:val="left" w:pos="720"/>
        </w:tabs>
        <w:autoSpaceDE w:val="0"/>
        <w:autoSpaceDN w:val="0"/>
        <w:adjustRightInd w:val="0"/>
        <w:ind w:hanging="720"/>
        <w:rPr>
          <w:rFonts w:ascii="Arial" w:hAnsi="Arial" w:cs="Arial"/>
          <w:color w:val="262626"/>
          <w:sz w:val="16"/>
          <w:szCs w:val="16"/>
        </w:rPr>
      </w:pPr>
    </w:p>
    <w:p w14:paraId="319FA578" w14:textId="77777777" w:rsidR="00EA08E3" w:rsidRDefault="00EA08E3" w:rsidP="0040185E">
      <w:pPr>
        <w:widowControl w:val="0"/>
        <w:autoSpaceDE w:val="0"/>
        <w:autoSpaceDN w:val="0"/>
        <w:adjustRightInd w:val="0"/>
      </w:pPr>
    </w:p>
    <w:p w14:paraId="546B48B4" w14:textId="75D56995" w:rsidR="0040185E" w:rsidRPr="0041280B" w:rsidRDefault="0041280B" w:rsidP="0041280B">
      <w:pPr>
        <w:widowControl w:val="0"/>
        <w:autoSpaceDE w:val="0"/>
        <w:autoSpaceDN w:val="0"/>
        <w:adjustRightInd w:val="0"/>
        <w:ind w:firstLine="708"/>
        <w:jc w:val="both"/>
        <w:rPr>
          <w:rFonts w:ascii="Arial" w:hAnsi="Arial" w:cs="Arial"/>
          <w:b/>
          <w:bCs/>
        </w:rPr>
      </w:pPr>
      <w:r>
        <w:rPr>
          <w:rFonts w:ascii="Arial" w:hAnsi="Arial" w:cs="Arial"/>
          <w:b/>
          <w:bCs/>
        </w:rPr>
        <w:t xml:space="preserve">* Publicité comparative </w:t>
      </w:r>
    </w:p>
    <w:p w14:paraId="37E99311" w14:textId="77777777" w:rsidR="00B41350" w:rsidRDefault="00B41350" w:rsidP="0040185E">
      <w:pPr>
        <w:rPr>
          <w:rFonts w:ascii="Arial" w:hAnsi="Arial" w:cs="Arial"/>
          <w:sz w:val="28"/>
          <w:szCs w:val="28"/>
        </w:rPr>
      </w:pPr>
    </w:p>
    <w:p w14:paraId="13ACEF3D" w14:textId="3DEAF65A" w:rsidR="0041280B" w:rsidRPr="00B96862" w:rsidRDefault="0041280B" w:rsidP="0041280B">
      <w:pPr>
        <w:jc w:val="both"/>
        <w:rPr>
          <w:rFonts w:ascii="Arial" w:hAnsi="Arial" w:cs="Arial"/>
        </w:rPr>
      </w:pPr>
      <w:r w:rsidRPr="00B96862">
        <w:rPr>
          <w:rFonts w:ascii="Arial" w:hAnsi="Arial" w:cs="Arial"/>
        </w:rPr>
        <w:lastRenderedPageBreak/>
        <w:t>Affaire relative à une campagne publicitaire télévisée de décembre 2012 « garantie prix le plus bas Carrefour » comparant les prix de 500 produits de grandes marques pratiqués dans des magasins à l’enseigne Carrefour et dans des magasins d’enseignes concurrentes.</w:t>
      </w:r>
    </w:p>
    <w:p w14:paraId="79F9C2FE" w14:textId="2A1B46B0" w:rsidR="0041280B" w:rsidRPr="00075D3E" w:rsidRDefault="0041280B" w:rsidP="00075D3E">
      <w:pPr>
        <w:jc w:val="both"/>
        <w:rPr>
          <w:rFonts w:ascii="Arial" w:hAnsi="Arial" w:cs="Arial"/>
        </w:rPr>
      </w:pPr>
      <w:r w:rsidRPr="00B96862">
        <w:rPr>
          <w:rFonts w:ascii="Arial" w:hAnsi="Arial" w:cs="Arial"/>
        </w:rPr>
        <w:t xml:space="preserve">Dans </w:t>
      </w:r>
      <w:r w:rsidR="00B41350" w:rsidRPr="00B96862">
        <w:rPr>
          <w:rFonts w:ascii="Arial" w:hAnsi="Arial" w:cs="Arial"/>
        </w:rPr>
        <w:t xml:space="preserve">un arrêt du 8 février 2017, la Cour de justice de l’Union européenne (CJUE) a précisé qu’une publicité comparative est susceptible d’être trompeuse lorsque le consommateur n’est pas clairement informé dans la publicité de la différence de formats et de tailles des magasins comparés. </w:t>
      </w:r>
    </w:p>
    <w:p w14:paraId="028F215C" w14:textId="4DD3A8AE" w:rsidR="0041280B" w:rsidRDefault="001F4F39" w:rsidP="00B41350">
      <w:pPr>
        <w:widowControl w:val="0"/>
        <w:autoSpaceDE w:val="0"/>
        <w:autoSpaceDN w:val="0"/>
        <w:adjustRightInd w:val="0"/>
        <w:rPr>
          <w:rFonts w:ascii="Arial" w:hAnsi="Arial" w:cs="Arial"/>
          <w:sz w:val="16"/>
          <w:szCs w:val="16"/>
        </w:rPr>
      </w:pPr>
      <w:hyperlink r:id="rId22" w:history="1">
        <w:r w:rsidR="0041280B" w:rsidRPr="006F61B2">
          <w:rPr>
            <w:rStyle w:val="Lienhypertexte"/>
            <w:rFonts w:ascii="Arial" w:hAnsi="Arial" w:cs="Arial"/>
            <w:sz w:val="16"/>
            <w:szCs w:val="16"/>
          </w:rPr>
          <w:t>http://curia.europa.eu/juris/document/document.jsf;jsessionid=9ea7d2dc30d515e6a822404142c4be0af5742b76dd20.e34KaxiLc3qMb40Rch0SaxyKchb0?text=&amp;docid=187641&amp;pageIndex=0&amp;doclang=FR&amp;mode=lst&amp;dir=&amp;occ=first&amp;part=1&amp;cid=286631</w:t>
        </w:r>
      </w:hyperlink>
    </w:p>
    <w:p w14:paraId="1F9D7F51" w14:textId="5F3A9A8E" w:rsidR="00B41350" w:rsidRPr="004368D5" w:rsidRDefault="00B41350" w:rsidP="00B41350">
      <w:pPr>
        <w:widowControl w:val="0"/>
        <w:autoSpaceDE w:val="0"/>
        <w:autoSpaceDN w:val="0"/>
        <w:adjustRightInd w:val="0"/>
        <w:rPr>
          <w:rFonts w:ascii="Arial" w:hAnsi="Arial" w:cs="Arial"/>
          <w:sz w:val="16"/>
          <w:szCs w:val="16"/>
        </w:rPr>
      </w:pPr>
      <w:r w:rsidRPr="0041280B">
        <w:rPr>
          <w:rFonts w:ascii="Arial" w:hAnsi="Arial" w:cs="Arial"/>
          <w:sz w:val="16"/>
          <w:szCs w:val="16"/>
        </w:rPr>
        <w:t xml:space="preserve"> </w:t>
      </w:r>
    </w:p>
    <w:p w14:paraId="21DDA481" w14:textId="77777777" w:rsidR="00283E27" w:rsidRPr="00657FE2" w:rsidRDefault="00283E27" w:rsidP="00283E27">
      <w:pPr>
        <w:pStyle w:val="Sansinterligne"/>
        <w:numPr>
          <w:ilvl w:val="0"/>
          <w:numId w:val="1"/>
        </w:numPr>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4EFCA88D" w14:textId="6855F45C" w:rsidR="00283E27" w:rsidRDefault="00283E27" w:rsidP="00F42FA7">
      <w:pPr>
        <w:pStyle w:val="Sansinterligne"/>
        <w:jc w:val="both"/>
        <w:rPr>
          <w:rFonts w:ascii="Arial" w:hAnsi="Arial" w:cs="Arial"/>
          <w:color w:val="FF0000"/>
          <w:sz w:val="20"/>
          <w:szCs w:val="20"/>
        </w:rPr>
      </w:pPr>
      <w:r>
        <w:rPr>
          <w:rFonts w:ascii="Arial" w:hAnsi="Arial" w:cs="Arial"/>
          <w:color w:val="FF0000"/>
          <w:sz w:val="20"/>
          <w:szCs w:val="20"/>
        </w:rPr>
        <w:t xml:space="preserve">Terminale STMG – Thème 8 </w:t>
      </w:r>
      <w:r w:rsidRPr="00F42FA7">
        <w:rPr>
          <w:rFonts w:ascii="Arial" w:hAnsi="Arial" w:cs="Arial"/>
          <w:color w:val="FF0000"/>
          <w:sz w:val="20"/>
          <w:szCs w:val="20"/>
        </w:rPr>
        <w:t xml:space="preserve"> </w:t>
      </w:r>
      <w:r w:rsidRPr="00283E27">
        <w:rPr>
          <w:rFonts w:ascii="Arial" w:hAnsi="Arial" w:cs="Arial"/>
          <w:color w:val="FF0000"/>
          <w:sz w:val="20"/>
          <w:szCs w:val="20"/>
        </w:rPr>
        <w:t xml:space="preserve">Comment le droit organise-t-il l'activité économique ? </w:t>
      </w:r>
      <w:r>
        <w:rPr>
          <w:rFonts w:ascii="Arial" w:hAnsi="Arial" w:cs="Arial"/>
          <w:color w:val="FF0000"/>
          <w:sz w:val="20"/>
          <w:szCs w:val="20"/>
        </w:rPr>
        <w:t xml:space="preserve">La loyauté de la concurrence / </w:t>
      </w:r>
      <w:r w:rsidRPr="00283E27">
        <w:rPr>
          <w:rFonts w:ascii="Arial" w:hAnsi="Arial" w:cs="Arial"/>
          <w:color w:val="FF0000"/>
          <w:sz w:val="20"/>
          <w:szCs w:val="20"/>
        </w:rPr>
        <w:t>Les pratiques anticoncurrentielles</w:t>
      </w:r>
    </w:p>
    <w:p w14:paraId="4DDB1232" w14:textId="4B28CE72" w:rsidR="00283E27" w:rsidRPr="00F42FA7" w:rsidRDefault="00283E27" w:rsidP="00F42FA7">
      <w:pPr>
        <w:pStyle w:val="Sansinterligne"/>
        <w:jc w:val="both"/>
        <w:rPr>
          <w:rFonts w:ascii="Arial" w:hAnsi="Arial" w:cs="Arial"/>
          <w:color w:val="FF0000"/>
          <w:sz w:val="20"/>
          <w:szCs w:val="20"/>
        </w:rPr>
      </w:pPr>
      <w:r w:rsidRPr="0096637D">
        <w:rPr>
          <w:rFonts w:ascii="Arial" w:hAnsi="Arial" w:cs="Arial"/>
          <w:color w:val="FF0000"/>
          <w:sz w:val="20"/>
          <w:szCs w:val="20"/>
        </w:rPr>
        <w:t>DGEMC </w:t>
      </w:r>
      <w:r w:rsidR="00265C68">
        <w:rPr>
          <w:rFonts w:ascii="Arial" w:hAnsi="Arial" w:cs="Arial"/>
          <w:color w:val="FF0000"/>
          <w:sz w:val="20"/>
          <w:szCs w:val="20"/>
        </w:rPr>
        <w:t>–</w:t>
      </w:r>
      <w:r>
        <w:rPr>
          <w:rFonts w:ascii="Arial" w:hAnsi="Arial" w:cs="Arial"/>
          <w:color w:val="FF0000"/>
          <w:sz w:val="20"/>
          <w:szCs w:val="20"/>
        </w:rPr>
        <w:t xml:space="preserve"> </w:t>
      </w:r>
      <w:r w:rsidR="00265C68">
        <w:rPr>
          <w:rFonts w:ascii="Arial" w:hAnsi="Arial" w:cs="Arial"/>
          <w:color w:val="FF0000"/>
          <w:sz w:val="20"/>
          <w:szCs w:val="20"/>
        </w:rPr>
        <w:t xml:space="preserve">Thème </w:t>
      </w:r>
      <w:r w:rsidR="00265C68" w:rsidRPr="00265C68">
        <w:rPr>
          <w:rFonts w:ascii="Arial" w:hAnsi="Arial" w:cs="Arial"/>
          <w:color w:val="FF0000"/>
          <w:sz w:val="20"/>
          <w:szCs w:val="20"/>
        </w:rPr>
        <w:t>2.5 L'entreprise</w:t>
      </w:r>
    </w:p>
    <w:p w14:paraId="6D9D7667" w14:textId="77777777" w:rsidR="00B41350" w:rsidRDefault="00B41350" w:rsidP="00B41350">
      <w:pPr>
        <w:rPr>
          <w:rFonts w:ascii="Arial" w:hAnsi="Arial" w:cs="Arial"/>
          <w:sz w:val="28"/>
          <w:szCs w:val="28"/>
        </w:rPr>
      </w:pPr>
    </w:p>
    <w:p w14:paraId="507A69ED" w14:textId="7FFC09E6" w:rsidR="00EB646F" w:rsidRPr="00BF16C1" w:rsidRDefault="00935F6C" w:rsidP="00BF16C1">
      <w:pPr>
        <w:widowControl w:val="0"/>
        <w:autoSpaceDE w:val="0"/>
        <w:autoSpaceDN w:val="0"/>
        <w:adjustRightInd w:val="0"/>
        <w:ind w:firstLine="708"/>
        <w:jc w:val="both"/>
        <w:rPr>
          <w:rFonts w:ascii="Arial" w:hAnsi="Arial" w:cs="Arial"/>
          <w:b/>
          <w:bCs/>
        </w:rPr>
      </w:pPr>
      <w:r>
        <w:rPr>
          <w:rFonts w:ascii="Arial" w:hAnsi="Arial" w:cs="Arial"/>
          <w:b/>
          <w:bCs/>
        </w:rPr>
        <w:t xml:space="preserve">* </w:t>
      </w:r>
      <w:r w:rsidR="00BF16C1">
        <w:rPr>
          <w:rFonts w:ascii="Arial" w:hAnsi="Arial" w:cs="Arial"/>
          <w:b/>
          <w:bCs/>
        </w:rPr>
        <w:t xml:space="preserve">Hiérarchie des normes dans l’entreprise / accord d’entreprise </w:t>
      </w:r>
    </w:p>
    <w:p w14:paraId="389A90B6" w14:textId="4FBF3799" w:rsidR="006C4DD6" w:rsidRDefault="00BF16C1" w:rsidP="00EB646F">
      <w:pPr>
        <w:widowControl w:val="0"/>
        <w:autoSpaceDE w:val="0"/>
        <w:autoSpaceDN w:val="0"/>
        <w:adjustRightInd w:val="0"/>
        <w:rPr>
          <w:rFonts w:ascii="Arial" w:hAnsi="Arial" w:cs="Arial"/>
          <w:color w:val="040404"/>
        </w:rPr>
      </w:pPr>
      <w:r>
        <w:rPr>
          <w:rFonts w:ascii="Arial" w:hAnsi="Arial" w:cs="Arial"/>
          <w:color w:val="040404"/>
        </w:rPr>
        <w:t>Cour de cassation, chambre sociale, 1</w:t>
      </w:r>
      <w:r w:rsidRPr="00BF16C1">
        <w:rPr>
          <w:rFonts w:ascii="Arial" w:hAnsi="Arial" w:cs="Arial"/>
          <w:color w:val="040404"/>
          <w:vertAlign w:val="superscript"/>
        </w:rPr>
        <w:t>er</w:t>
      </w:r>
      <w:r>
        <w:rPr>
          <w:rFonts w:ascii="Arial" w:hAnsi="Arial" w:cs="Arial"/>
          <w:color w:val="040404"/>
        </w:rPr>
        <w:t xml:space="preserve"> mars 2017.</w:t>
      </w:r>
    </w:p>
    <w:p w14:paraId="69D3D4B6" w14:textId="4CEBC95D" w:rsidR="00EB646F" w:rsidRPr="00BF16C1" w:rsidRDefault="00EF5073" w:rsidP="00BF16C1">
      <w:pPr>
        <w:jc w:val="both"/>
        <w:rPr>
          <w:rFonts w:ascii="Arial" w:hAnsi="Arial" w:cs="Arial"/>
        </w:rPr>
      </w:pPr>
      <w:r w:rsidRPr="00BF16C1">
        <w:rPr>
          <w:rFonts w:ascii="Arial" w:hAnsi="Arial" w:cs="Arial"/>
        </w:rPr>
        <w:t>L</w:t>
      </w:r>
      <w:r w:rsidR="00EB646F" w:rsidRPr="00BF16C1">
        <w:rPr>
          <w:rFonts w:ascii="Arial" w:hAnsi="Arial" w:cs="Arial"/>
        </w:rPr>
        <w:t xml:space="preserve">es dispositions de l’article L. 3121-11, alinéa 1er, permettent de fixer par voie d’accord d’entreprise ou d’établissement le contingent d’heures supplémentaires à un niveau différent de celui prévu par l’accord de branche même dans un sens défavorable au salarié </w:t>
      </w:r>
      <w:r w:rsidR="006A1C93" w:rsidRPr="00BF16C1">
        <w:rPr>
          <w:rFonts w:ascii="Arial" w:hAnsi="Arial" w:cs="Arial"/>
        </w:rPr>
        <w:t>et quelle que soit la date de conclusion de ce dernier</w:t>
      </w:r>
    </w:p>
    <w:p w14:paraId="42F366D4" w14:textId="1482E6A7" w:rsidR="001E74BD" w:rsidRPr="00BF16C1" w:rsidRDefault="001F4F39" w:rsidP="00EB646F">
      <w:pPr>
        <w:rPr>
          <w:rFonts w:ascii="Arial" w:hAnsi="Arial" w:cs="Arial"/>
          <w:sz w:val="16"/>
          <w:szCs w:val="16"/>
        </w:rPr>
      </w:pPr>
      <w:hyperlink r:id="rId23" w:history="1">
        <w:r w:rsidR="006A1C93" w:rsidRPr="00BF16C1">
          <w:rPr>
            <w:rStyle w:val="Lienhypertexte"/>
            <w:rFonts w:ascii="Arial" w:hAnsi="Arial" w:cs="Arial"/>
            <w:sz w:val="16"/>
            <w:szCs w:val="16"/>
          </w:rPr>
          <w:t>https://www.legifrance.gouv.fr/affichJuriJudi.do?oldAction=rechJuriJudi&amp;idTexte=JURITEXT000034142850&amp;fastReqId=304376993&amp;fastPos=1</w:t>
        </w:r>
      </w:hyperlink>
    </w:p>
    <w:p w14:paraId="035E5F59" w14:textId="77777777" w:rsidR="006A1C93" w:rsidRDefault="006A1C93" w:rsidP="00EB646F">
      <w:pPr>
        <w:rPr>
          <w:rFonts w:ascii="Arial" w:hAnsi="Arial" w:cs="Arial"/>
          <w:sz w:val="28"/>
          <w:szCs w:val="28"/>
        </w:rPr>
      </w:pPr>
    </w:p>
    <w:p w14:paraId="6777C648"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5A532860" w14:textId="6953BCE3" w:rsidR="00B41350" w:rsidRPr="00C37B6E" w:rsidRDefault="00B41350" w:rsidP="00F42FA7">
      <w:pPr>
        <w:pStyle w:val="Sansinterligne"/>
        <w:jc w:val="both"/>
        <w:rPr>
          <w:rFonts w:ascii="Arial" w:hAnsi="Arial" w:cs="Arial"/>
          <w:color w:val="FF0000"/>
          <w:sz w:val="20"/>
          <w:szCs w:val="20"/>
        </w:rPr>
      </w:pPr>
      <w:r>
        <w:rPr>
          <w:rFonts w:ascii="Arial" w:hAnsi="Arial" w:cs="Arial"/>
          <w:color w:val="FF0000"/>
          <w:sz w:val="20"/>
          <w:szCs w:val="20"/>
        </w:rPr>
        <w:t>STS 1</w:t>
      </w:r>
      <w:r w:rsidRPr="00F42FA7">
        <w:rPr>
          <w:rFonts w:ascii="Arial" w:hAnsi="Arial" w:cs="Arial"/>
          <w:color w:val="FF0000"/>
          <w:sz w:val="20"/>
          <w:szCs w:val="20"/>
        </w:rPr>
        <w:t>ère</w:t>
      </w:r>
      <w:r>
        <w:rPr>
          <w:rFonts w:ascii="Arial" w:hAnsi="Arial" w:cs="Arial"/>
          <w:color w:val="FF0000"/>
          <w:sz w:val="20"/>
          <w:szCs w:val="20"/>
        </w:rPr>
        <w:t xml:space="preserve"> année</w:t>
      </w:r>
      <w:r w:rsidR="00B00D43">
        <w:rPr>
          <w:rFonts w:ascii="Arial" w:hAnsi="Arial" w:cs="Arial"/>
          <w:color w:val="FF0000"/>
          <w:sz w:val="20"/>
          <w:szCs w:val="20"/>
        </w:rPr>
        <w:t xml:space="preserve"> : </w:t>
      </w:r>
      <w:r w:rsidR="003D01D4">
        <w:rPr>
          <w:rFonts w:ascii="Arial" w:hAnsi="Arial" w:cs="Arial"/>
          <w:color w:val="FF0000"/>
          <w:sz w:val="20"/>
          <w:szCs w:val="20"/>
        </w:rPr>
        <w:t xml:space="preserve">Thème </w:t>
      </w:r>
      <w:r w:rsidR="00B00D43">
        <w:rPr>
          <w:rFonts w:ascii="Arial" w:hAnsi="Arial" w:cs="Arial"/>
          <w:color w:val="FF0000"/>
          <w:sz w:val="20"/>
          <w:szCs w:val="20"/>
        </w:rPr>
        <w:t xml:space="preserve">1 : </w:t>
      </w:r>
      <w:r w:rsidR="00B00D43" w:rsidRPr="0096637D">
        <w:rPr>
          <w:rFonts w:ascii="Arial" w:hAnsi="Arial" w:cs="Arial"/>
          <w:color w:val="FF0000"/>
          <w:sz w:val="20"/>
          <w:szCs w:val="20"/>
        </w:rPr>
        <w:t>L’individu au travail</w:t>
      </w:r>
      <w:r w:rsidR="00B00D43">
        <w:rPr>
          <w:rFonts w:ascii="Arial" w:hAnsi="Arial" w:cs="Arial"/>
          <w:color w:val="FF0000"/>
          <w:sz w:val="20"/>
          <w:szCs w:val="20"/>
        </w:rPr>
        <w:t xml:space="preserve"> - </w:t>
      </w:r>
      <w:r w:rsidR="00B00D43" w:rsidRPr="00B00D43">
        <w:rPr>
          <w:rFonts w:ascii="Arial" w:hAnsi="Arial" w:cs="Arial"/>
          <w:color w:val="FF0000"/>
          <w:sz w:val="20"/>
          <w:szCs w:val="20"/>
        </w:rPr>
        <w:t xml:space="preserve">123. L’adaptation de la relation de travail par le droit négocié </w:t>
      </w:r>
    </w:p>
    <w:p w14:paraId="2837619A" w14:textId="77777777" w:rsidR="00B41350" w:rsidRDefault="00B41350" w:rsidP="00B41350">
      <w:pPr>
        <w:rPr>
          <w:rFonts w:ascii="Arial" w:hAnsi="Arial" w:cs="Arial"/>
          <w:sz w:val="28"/>
          <w:szCs w:val="28"/>
        </w:rPr>
      </w:pPr>
    </w:p>
    <w:p w14:paraId="54CD28C1" w14:textId="356ADEC9" w:rsidR="00BF16C1" w:rsidRPr="00BF16C1" w:rsidRDefault="00BF16C1" w:rsidP="00BF16C1">
      <w:pPr>
        <w:widowControl w:val="0"/>
        <w:autoSpaceDE w:val="0"/>
        <w:autoSpaceDN w:val="0"/>
        <w:adjustRightInd w:val="0"/>
        <w:ind w:firstLine="708"/>
        <w:jc w:val="both"/>
        <w:rPr>
          <w:rFonts w:ascii="Arial" w:hAnsi="Arial" w:cs="Arial"/>
          <w:b/>
          <w:bCs/>
        </w:rPr>
      </w:pPr>
      <w:r>
        <w:rPr>
          <w:rFonts w:ascii="Arial" w:hAnsi="Arial" w:cs="Arial"/>
          <w:b/>
          <w:bCs/>
        </w:rPr>
        <w:t>* Auto-entrepreneurs / Requalification / lien de subordination / travail dissimulé.</w:t>
      </w:r>
    </w:p>
    <w:p w14:paraId="6ABF2CE1" w14:textId="0C5BB63C" w:rsidR="00377A59" w:rsidRPr="00B96862" w:rsidRDefault="00BF16C1" w:rsidP="00BF16C1">
      <w:pPr>
        <w:widowControl w:val="0"/>
        <w:autoSpaceDE w:val="0"/>
        <w:autoSpaceDN w:val="0"/>
        <w:adjustRightInd w:val="0"/>
        <w:jc w:val="both"/>
        <w:rPr>
          <w:rFonts w:ascii="Arial" w:hAnsi="Arial" w:cs="Arial"/>
          <w:bCs/>
        </w:rPr>
      </w:pPr>
      <w:r w:rsidRPr="00B96862">
        <w:rPr>
          <w:rFonts w:ascii="Arial" w:hAnsi="Arial" w:cs="Arial"/>
          <w:bCs/>
        </w:rPr>
        <w:t>Cour de cassation, chambre criminelle, 10 janvier 2017 N° de pourvoi: 15-86580</w:t>
      </w:r>
    </w:p>
    <w:p w14:paraId="77FA78A5" w14:textId="77777777" w:rsidR="00BF16C1" w:rsidRPr="00B96862" w:rsidRDefault="00BF16C1" w:rsidP="00BF16C1">
      <w:pPr>
        <w:jc w:val="both"/>
        <w:rPr>
          <w:rFonts w:ascii="Arial" w:hAnsi="Arial" w:cs="Arial"/>
        </w:rPr>
      </w:pPr>
      <w:r w:rsidRPr="00B96862">
        <w:rPr>
          <w:rFonts w:ascii="Arial" w:hAnsi="Arial" w:cs="Arial"/>
        </w:rPr>
        <w:t>Illustration du détournement du régime de l’auto-entrepreneur : requalification par le juge d’un contrat de mission en contrat de travail.</w:t>
      </w:r>
    </w:p>
    <w:p w14:paraId="4329B4B1" w14:textId="5EF3409C" w:rsidR="00377A59" w:rsidRPr="00B96862" w:rsidRDefault="00377A59" w:rsidP="00BF16C1">
      <w:pPr>
        <w:jc w:val="both"/>
        <w:rPr>
          <w:rFonts w:ascii="Arial" w:hAnsi="Arial" w:cs="Arial"/>
        </w:rPr>
      </w:pPr>
      <w:r w:rsidRPr="00B96862">
        <w:rPr>
          <w:rFonts w:ascii="Arial" w:hAnsi="Arial" w:cs="Arial"/>
        </w:rPr>
        <w:t>Si une entreprise recourt au service d’auto-entrepreneurs pour l’exercice de son activité et que ceux-ci se trouvent en réalité placés dans un lien de subordination juridique permanent à l’égard de celle-ci, ils doivent être considérés comme des salariés et l’entreprise sera condamnée pour travail dissimulé.</w:t>
      </w:r>
    </w:p>
    <w:p w14:paraId="256A59B3" w14:textId="0D312A14" w:rsidR="00E17216" w:rsidRPr="00B96862" w:rsidRDefault="00BF16C1" w:rsidP="00BF16C1">
      <w:pPr>
        <w:jc w:val="both"/>
        <w:rPr>
          <w:rFonts w:ascii="Arial" w:hAnsi="Arial" w:cs="Arial"/>
        </w:rPr>
      </w:pPr>
      <w:r w:rsidRPr="00B96862">
        <w:rPr>
          <w:rFonts w:ascii="Arial" w:hAnsi="Arial" w:cs="Arial"/>
        </w:rPr>
        <w:t xml:space="preserve">« Les auto-entrepreneurs </w:t>
      </w:r>
      <w:r w:rsidR="00E17216" w:rsidRPr="00B96862">
        <w:rPr>
          <w:rFonts w:ascii="Arial" w:hAnsi="Arial" w:cs="Arial"/>
        </w:rPr>
        <w:t xml:space="preserve">concernés se trouvaient placés dans un lien de subordination juridique permanente à l’égard des prévenus ». </w:t>
      </w:r>
    </w:p>
    <w:p w14:paraId="51E7E858" w14:textId="4D17AB02" w:rsidR="00E17216" w:rsidRPr="00BF16C1" w:rsidRDefault="001F4F39" w:rsidP="00EB646F">
      <w:pPr>
        <w:rPr>
          <w:rFonts w:ascii="Arial" w:hAnsi="Arial" w:cs="Arial"/>
          <w:sz w:val="16"/>
          <w:szCs w:val="16"/>
        </w:rPr>
      </w:pPr>
      <w:hyperlink r:id="rId24" w:history="1">
        <w:r w:rsidR="00E17216" w:rsidRPr="00BF16C1">
          <w:rPr>
            <w:rStyle w:val="Lienhypertexte"/>
            <w:rFonts w:ascii="Arial" w:hAnsi="Arial" w:cs="Arial"/>
            <w:sz w:val="16"/>
            <w:szCs w:val="16"/>
          </w:rPr>
          <w:t>https://www.legifrance.gouv.fr/affichJuriJudi.do?oldAction=rechJuriJudi&amp;idTexte=JURITEXT000033880431&amp;fastReqId=343861333&amp;fastPos=1</w:t>
        </w:r>
      </w:hyperlink>
    </w:p>
    <w:p w14:paraId="46E8A9CF" w14:textId="77777777" w:rsidR="00E17216" w:rsidRPr="00377A59" w:rsidRDefault="00E17216" w:rsidP="00EB646F">
      <w:pPr>
        <w:rPr>
          <w:rFonts w:ascii="Arial" w:hAnsi="Arial" w:cs="Arial"/>
          <w:sz w:val="28"/>
          <w:szCs w:val="28"/>
        </w:rPr>
      </w:pPr>
    </w:p>
    <w:p w14:paraId="6FA80D8F" w14:textId="77777777" w:rsidR="00B41350" w:rsidRPr="00657FE2" w:rsidRDefault="00377A59" w:rsidP="00B41350">
      <w:pPr>
        <w:pStyle w:val="Sansinterligne"/>
        <w:jc w:val="both"/>
        <w:rPr>
          <w:rFonts w:ascii="Arial" w:hAnsi="Arial" w:cs="Arial"/>
          <w:color w:val="FF0000"/>
          <w:sz w:val="20"/>
          <w:szCs w:val="20"/>
          <w:u w:val="single"/>
        </w:rPr>
      </w:pPr>
      <w:r w:rsidRPr="00377A59">
        <w:rPr>
          <w:rFonts w:ascii="Arial" w:hAnsi="Arial" w:cs="Arial"/>
          <w:sz w:val="28"/>
          <w:szCs w:val="28"/>
        </w:rPr>
        <w:t>. </w:t>
      </w:r>
      <w:r w:rsidR="00B41350" w:rsidRPr="00657FE2">
        <w:rPr>
          <w:rFonts w:ascii="Arial" w:hAnsi="Arial" w:cs="Arial"/>
          <w:color w:val="FF0000"/>
          <w:sz w:val="20"/>
          <w:szCs w:val="20"/>
          <w:u w:val="single"/>
        </w:rPr>
        <w:t xml:space="preserve">Points de programme concerné : </w:t>
      </w:r>
    </w:p>
    <w:p w14:paraId="6A0970E4" w14:textId="77777777" w:rsidR="000800FD" w:rsidRDefault="00B41350" w:rsidP="00F42FA7">
      <w:pPr>
        <w:pStyle w:val="Sansinterligne"/>
        <w:jc w:val="both"/>
        <w:rPr>
          <w:rFonts w:ascii="Arial" w:hAnsi="Arial" w:cs="Arial"/>
          <w:color w:val="FF0000"/>
          <w:sz w:val="20"/>
          <w:szCs w:val="20"/>
        </w:rPr>
      </w:pPr>
      <w:r>
        <w:rPr>
          <w:rFonts w:ascii="Arial" w:hAnsi="Arial" w:cs="Arial"/>
          <w:color w:val="FF0000"/>
          <w:sz w:val="20"/>
          <w:szCs w:val="20"/>
        </w:rPr>
        <w:t xml:space="preserve">Terminale STMG – </w:t>
      </w:r>
      <w:r w:rsidR="00460CEE">
        <w:rPr>
          <w:rFonts w:ascii="Arial" w:hAnsi="Arial" w:cs="Arial"/>
          <w:color w:val="FF0000"/>
          <w:sz w:val="20"/>
          <w:szCs w:val="20"/>
        </w:rPr>
        <w:t xml:space="preserve">Thème 7. </w:t>
      </w:r>
      <w:r w:rsidR="00460CEE" w:rsidRPr="00431E1D">
        <w:rPr>
          <w:rFonts w:ascii="Arial" w:hAnsi="Arial" w:cs="Arial"/>
          <w:color w:val="FF0000"/>
          <w:sz w:val="20"/>
          <w:szCs w:val="20"/>
        </w:rPr>
        <w:t>Comment le droit encadre-t-il le travail salarié ? Le contrat de travail.</w:t>
      </w:r>
    </w:p>
    <w:p w14:paraId="11368495" w14:textId="073CCC0C" w:rsidR="000800FD" w:rsidRDefault="00B41350" w:rsidP="00F42FA7">
      <w:pPr>
        <w:pStyle w:val="Sansinterligne"/>
        <w:jc w:val="both"/>
        <w:rPr>
          <w:rFonts w:ascii="Arial" w:hAnsi="Arial" w:cs="Arial"/>
          <w:color w:val="FF0000"/>
          <w:sz w:val="20"/>
          <w:szCs w:val="20"/>
        </w:rPr>
      </w:pPr>
      <w:r>
        <w:rPr>
          <w:rFonts w:ascii="Arial" w:hAnsi="Arial" w:cs="Arial"/>
          <w:color w:val="FF0000"/>
          <w:sz w:val="20"/>
          <w:szCs w:val="20"/>
        </w:rPr>
        <w:t>STS 1</w:t>
      </w:r>
      <w:r w:rsidRPr="00F42FA7">
        <w:rPr>
          <w:rFonts w:ascii="Arial" w:hAnsi="Arial" w:cs="Arial"/>
          <w:color w:val="FF0000"/>
          <w:sz w:val="20"/>
          <w:szCs w:val="20"/>
        </w:rPr>
        <w:t>ère</w:t>
      </w:r>
      <w:r>
        <w:rPr>
          <w:rFonts w:ascii="Arial" w:hAnsi="Arial" w:cs="Arial"/>
          <w:color w:val="FF0000"/>
          <w:sz w:val="20"/>
          <w:szCs w:val="20"/>
        </w:rPr>
        <w:t xml:space="preserve"> année </w:t>
      </w:r>
      <w:r w:rsidR="00B00D43">
        <w:rPr>
          <w:rFonts w:ascii="Arial" w:hAnsi="Arial" w:cs="Arial"/>
          <w:color w:val="FF0000"/>
          <w:sz w:val="20"/>
          <w:szCs w:val="20"/>
        </w:rPr>
        <w:t xml:space="preserve">– </w:t>
      </w:r>
      <w:r w:rsidR="003D01D4">
        <w:rPr>
          <w:rFonts w:ascii="Arial" w:hAnsi="Arial" w:cs="Arial"/>
          <w:color w:val="FF0000"/>
          <w:sz w:val="20"/>
          <w:szCs w:val="20"/>
        </w:rPr>
        <w:t xml:space="preserve">Thème </w:t>
      </w:r>
      <w:r w:rsidR="00B00D43">
        <w:rPr>
          <w:rFonts w:ascii="Arial" w:hAnsi="Arial" w:cs="Arial"/>
          <w:color w:val="FF0000"/>
          <w:sz w:val="20"/>
          <w:szCs w:val="20"/>
        </w:rPr>
        <w:t xml:space="preserve">1 : </w:t>
      </w:r>
      <w:r w:rsidR="00B00D43" w:rsidRPr="0096637D">
        <w:rPr>
          <w:rFonts w:ascii="Arial" w:hAnsi="Arial" w:cs="Arial"/>
          <w:color w:val="FF0000"/>
          <w:sz w:val="20"/>
          <w:szCs w:val="20"/>
        </w:rPr>
        <w:t>L’individu au travail</w:t>
      </w:r>
      <w:r w:rsidR="00B00D43">
        <w:rPr>
          <w:rFonts w:ascii="Arial" w:hAnsi="Arial" w:cs="Arial"/>
          <w:color w:val="FF0000"/>
          <w:sz w:val="20"/>
          <w:szCs w:val="20"/>
        </w:rPr>
        <w:t xml:space="preserve"> - </w:t>
      </w:r>
      <w:r w:rsidR="00B00D43" w:rsidRPr="00B00D43">
        <w:rPr>
          <w:rFonts w:ascii="Arial" w:hAnsi="Arial" w:cs="Arial"/>
          <w:color w:val="FF0000"/>
          <w:sz w:val="20"/>
          <w:szCs w:val="20"/>
        </w:rPr>
        <w:t xml:space="preserve">121. Les régimes juridiques de l’activité professionnelle </w:t>
      </w:r>
    </w:p>
    <w:p w14:paraId="0F4BEA73" w14:textId="73890172" w:rsidR="00B41350" w:rsidRPr="0096637D" w:rsidRDefault="007B6E88" w:rsidP="00F42FA7">
      <w:pPr>
        <w:pStyle w:val="Sansinterligne"/>
        <w:jc w:val="both"/>
        <w:rPr>
          <w:rFonts w:ascii="Arial" w:hAnsi="Arial" w:cs="Arial"/>
          <w:color w:val="FF0000"/>
          <w:sz w:val="20"/>
          <w:szCs w:val="20"/>
        </w:rPr>
      </w:pPr>
      <w:r>
        <w:rPr>
          <w:rFonts w:ascii="Arial" w:hAnsi="Arial" w:cs="Arial"/>
          <w:color w:val="FF0000"/>
          <w:sz w:val="20"/>
          <w:szCs w:val="20"/>
        </w:rPr>
        <w:t>DGEMC -</w:t>
      </w:r>
      <w:r w:rsidRPr="0096637D">
        <w:rPr>
          <w:rFonts w:ascii="Arial" w:hAnsi="Arial" w:cs="Arial"/>
          <w:color w:val="FF0000"/>
          <w:sz w:val="20"/>
          <w:szCs w:val="20"/>
        </w:rPr>
        <w:t xml:space="preserve"> Thème 2 .3 :</w:t>
      </w:r>
      <w:r>
        <w:rPr>
          <w:rFonts w:ascii="Arial" w:hAnsi="Arial" w:cs="Arial"/>
          <w:color w:val="FF0000"/>
          <w:sz w:val="20"/>
          <w:szCs w:val="20"/>
        </w:rPr>
        <w:t xml:space="preserve"> L</w:t>
      </w:r>
      <w:r w:rsidRPr="0096637D">
        <w:rPr>
          <w:rFonts w:ascii="Arial" w:hAnsi="Arial" w:cs="Arial"/>
          <w:color w:val="FF0000"/>
          <w:sz w:val="20"/>
          <w:szCs w:val="20"/>
        </w:rPr>
        <w:t>e travailleur</w:t>
      </w:r>
    </w:p>
    <w:p w14:paraId="6E6E01E3" w14:textId="77777777" w:rsidR="00B41350" w:rsidRDefault="00B41350" w:rsidP="00B41350">
      <w:pPr>
        <w:rPr>
          <w:rFonts w:ascii="Arial" w:hAnsi="Arial" w:cs="Arial"/>
          <w:sz w:val="28"/>
          <w:szCs w:val="28"/>
        </w:rPr>
      </w:pPr>
    </w:p>
    <w:p w14:paraId="77302955" w14:textId="0F706EC5" w:rsidR="00377A59" w:rsidRDefault="00EA272C" w:rsidP="00EA272C">
      <w:pPr>
        <w:widowControl w:val="0"/>
        <w:autoSpaceDE w:val="0"/>
        <w:autoSpaceDN w:val="0"/>
        <w:adjustRightInd w:val="0"/>
        <w:ind w:firstLine="708"/>
        <w:jc w:val="both"/>
        <w:rPr>
          <w:rFonts w:ascii="Arial" w:hAnsi="Arial" w:cs="Arial"/>
          <w:sz w:val="28"/>
          <w:szCs w:val="28"/>
        </w:rPr>
      </w:pPr>
      <w:r>
        <w:rPr>
          <w:rFonts w:ascii="Arial" w:hAnsi="Arial" w:cs="Arial"/>
          <w:b/>
          <w:bCs/>
        </w:rPr>
        <w:t xml:space="preserve">* La notion de faute lourde </w:t>
      </w:r>
    </w:p>
    <w:p w14:paraId="49BCCFA4" w14:textId="3A72055D" w:rsidR="0069317E" w:rsidRPr="0069317E" w:rsidRDefault="0069317E" w:rsidP="00EA272C">
      <w:pPr>
        <w:jc w:val="both"/>
        <w:rPr>
          <w:rFonts w:ascii="Arial" w:hAnsi="Arial" w:cs="Arial"/>
        </w:rPr>
      </w:pPr>
      <w:r w:rsidRPr="0069317E">
        <w:rPr>
          <w:rFonts w:ascii="Arial" w:hAnsi="Arial" w:cs="Arial"/>
        </w:rPr>
        <w:t xml:space="preserve">Cour de cassation, chambre sociale </w:t>
      </w:r>
      <w:r w:rsidRPr="0069317E">
        <w:rPr>
          <w:rFonts w:ascii="Arial" w:hAnsi="Arial" w:cs="Arial"/>
          <w:bCs/>
        </w:rPr>
        <w:t>8 février 2017, 15-21064</w:t>
      </w:r>
    </w:p>
    <w:p w14:paraId="22D99E20" w14:textId="6B7690FB" w:rsidR="00517437" w:rsidRDefault="00517437" w:rsidP="00EA272C">
      <w:pPr>
        <w:jc w:val="both"/>
        <w:rPr>
          <w:rFonts w:ascii="Arial" w:hAnsi="Arial" w:cs="Arial"/>
        </w:rPr>
      </w:pPr>
      <w:r w:rsidRPr="00EA272C">
        <w:rPr>
          <w:rFonts w:ascii="Arial" w:hAnsi="Arial" w:cs="Arial"/>
        </w:rPr>
        <w:t>La faute lourde ne résultant pas de la seule commission d’un acte préjudiciable à l’entreprise, les juges du fond doivent, pour la retenir, caractériser l’intention de nuire à l’employeur, laquelle implique la volonté du salarié de lui porter préjudice dans la commission du fait fautif.</w:t>
      </w:r>
    </w:p>
    <w:p w14:paraId="62705A00" w14:textId="7EE17390" w:rsidR="0069317E" w:rsidRPr="0069317E" w:rsidRDefault="001F4F39" w:rsidP="00EA272C">
      <w:pPr>
        <w:jc w:val="both"/>
        <w:rPr>
          <w:rFonts w:ascii="Arial" w:hAnsi="Arial" w:cs="Arial"/>
          <w:sz w:val="16"/>
          <w:szCs w:val="16"/>
        </w:rPr>
      </w:pPr>
      <w:hyperlink r:id="rId25" w:history="1">
        <w:r w:rsidR="0069317E" w:rsidRPr="006F61B2">
          <w:rPr>
            <w:rStyle w:val="Lienhypertexte"/>
            <w:rFonts w:ascii="Arial" w:hAnsi="Arial" w:cs="Arial"/>
            <w:sz w:val="16"/>
            <w:szCs w:val="16"/>
          </w:rPr>
          <w:t>https://www.legifrance.gouv.fr/affichJuriJudi.do?idTexte=JURITEXT000034040640&amp;fastReqId=1843839753&amp;fastPos=2&amp;oldAction=rechJuriJudi</w:t>
        </w:r>
      </w:hyperlink>
    </w:p>
    <w:p w14:paraId="6756230D" w14:textId="77777777" w:rsidR="00EA272C" w:rsidRPr="00EA272C" w:rsidRDefault="00EA272C" w:rsidP="00EB646F">
      <w:pPr>
        <w:rPr>
          <w:rFonts w:ascii="Arial" w:hAnsi="Arial" w:cs="Arial"/>
        </w:rPr>
      </w:pPr>
    </w:p>
    <w:p w14:paraId="0D4B5695"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1E454203" w14:textId="7C7B166D" w:rsidR="00B41350" w:rsidRDefault="00B41350" w:rsidP="00F42FA7">
      <w:pPr>
        <w:pStyle w:val="Sansinterligne"/>
        <w:jc w:val="both"/>
        <w:rPr>
          <w:rFonts w:ascii="Arial" w:hAnsi="Arial" w:cs="Arial"/>
          <w:color w:val="FF0000"/>
          <w:sz w:val="20"/>
          <w:szCs w:val="20"/>
        </w:rPr>
      </w:pPr>
      <w:r>
        <w:rPr>
          <w:rFonts w:ascii="Arial" w:hAnsi="Arial" w:cs="Arial"/>
          <w:color w:val="FF0000"/>
          <w:sz w:val="20"/>
          <w:szCs w:val="20"/>
        </w:rPr>
        <w:t xml:space="preserve">Terminale STMG – </w:t>
      </w:r>
      <w:r w:rsidR="00431E1D">
        <w:rPr>
          <w:rFonts w:ascii="Arial" w:hAnsi="Arial" w:cs="Arial"/>
          <w:color w:val="FF0000"/>
          <w:sz w:val="20"/>
          <w:szCs w:val="20"/>
        </w:rPr>
        <w:t xml:space="preserve">Thème </w:t>
      </w:r>
      <w:r w:rsidR="00460CEE" w:rsidRPr="00431E1D">
        <w:rPr>
          <w:rFonts w:ascii="Arial" w:hAnsi="Arial" w:cs="Arial"/>
          <w:color w:val="FF0000"/>
          <w:sz w:val="20"/>
          <w:szCs w:val="20"/>
        </w:rPr>
        <w:t xml:space="preserve">7. Comment le droit encadre-t-il le travail salarié ? </w:t>
      </w:r>
      <w:r w:rsidR="00431E1D" w:rsidRPr="00431E1D">
        <w:rPr>
          <w:rFonts w:ascii="Arial" w:hAnsi="Arial" w:cs="Arial"/>
          <w:color w:val="FF0000"/>
          <w:sz w:val="20"/>
          <w:szCs w:val="20"/>
        </w:rPr>
        <w:t>La rupture du contrat de travail</w:t>
      </w:r>
    </w:p>
    <w:p w14:paraId="55ACCD22" w14:textId="77777777" w:rsidR="000800FD" w:rsidRDefault="00B41350" w:rsidP="00F42FA7">
      <w:pPr>
        <w:pStyle w:val="Sansinterligne"/>
        <w:jc w:val="both"/>
        <w:rPr>
          <w:rFonts w:ascii="Arial" w:hAnsi="Arial" w:cs="Arial"/>
          <w:color w:val="FF0000"/>
          <w:sz w:val="20"/>
          <w:szCs w:val="20"/>
        </w:rPr>
      </w:pPr>
      <w:r>
        <w:rPr>
          <w:rFonts w:ascii="Arial" w:hAnsi="Arial" w:cs="Arial"/>
          <w:color w:val="FF0000"/>
          <w:sz w:val="20"/>
          <w:szCs w:val="20"/>
        </w:rPr>
        <w:t>STS 1</w:t>
      </w:r>
      <w:r w:rsidRPr="00F42FA7">
        <w:rPr>
          <w:rFonts w:ascii="Arial" w:hAnsi="Arial" w:cs="Arial"/>
          <w:color w:val="FF0000"/>
          <w:sz w:val="20"/>
          <w:szCs w:val="20"/>
        </w:rPr>
        <w:t>ère</w:t>
      </w:r>
      <w:r w:rsidR="003D01D4">
        <w:rPr>
          <w:rFonts w:ascii="Arial" w:hAnsi="Arial" w:cs="Arial"/>
          <w:color w:val="FF0000"/>
          <w:sz w:val="20"/>
          <w:szCs w:val="20"/>
        </w:rPr>
        <w:t xml:space="preserve"> année. Thème 1 : </w:t>
      </w:r>
      <w:r w:rsidR="003D01D4" w:rsidRPr="0096637D">
        <w:rPr>
          <w:rFonts w:ascii="Arial" w:hAnsi="Arial" w:cs="Arial"/>
          <w:color w:val="FF0000"/>
          <w:sz w:val="20"/>
          <w:szCs w:val="20"/>
        </w:rPr>
        <w:t>L’individu au travail</w:t>
      </w:r>
      <w:r w:rsidR="003D01D4">
        <w:rPr>
          <w:rFonts w:ascii="Arial" w:hAnsi="Arial" w:cs="Arial"/>
          <w:color w:val="FF0000"/>
          <w:sz w:val="20"/>
          <w:szCs w:val="20"/>
        </w:rPr>
        <w:t xml:space="preserve"> - </w:t>
      </w:r>
      <w:r w:rsidR="003D01D4" w:rsidRPr="00B00D43">
        <w:rPr>
          <w:rFonts w:ascii="Arial" w:hAnsi="Arial" w:cs="Arial"/>
          <w:color w:val="FF0000"/>
          <w:sz w:val="20"/>
          <w:szCs w:val="20"/>
        </w:rPr>
        <w:t xml:space="preserve">121. Les régimes juridiques de l’activité professionnelle </w:t>
      </w:r>
    </w:p>
    <w:p w14:paraId="070CC7D3" w14:textId="61468471" w:rsidR="00B41350" w:rsidRPr="0096637D" w:rsidRDefault="007B6E88" w:rsidP="00F42FA7">
      <w:pPr>
        <w:pStyle w:val="Sansinterligne"/>
        <w:jc w:val="both"/>
        <w:rPr>
          <w:rFonts w:ascii="Arial" w:hAnsi="Arial" w:cs="Arial"/>
          <w:color w:val="FF0000"/>
          <w:sz w:val="20"/>
          <w:szCs w:val="20"/>
        </w:rPr>
      </w:pPr>
      <w:r>
        <w:rPr>
          <w:rFonts w:ascii="Arial" w:hAnsi="Arial" w:cs="Arial"/>
          <w:color w:val="FF0000"/>
          <w:sz w:val="20"/>
          <w:szCs w:val="20"/>
        </w:rPr>
        <w:t>DGEMC -</w:t>
      </w:r>
      <w:r w:rsidRPr="0096637D">
        <w:rPr>
          <w:rFonts w:ascii="Arial" w:hAnsi="Arial" w:cs="Arial"/>
          <w:color w:val="FF0000"/>
          <w:sz w:val="20"/>
          <w:szCs w:val="20"/>
        </w:rPr>
        <w:t xml:space="preserve"> Thème 2 .3 :</w:t>
      </w:r>
      <w:r>
        <w:rPr>
          <w:rFonts w:ascii="Arial" w:hAnsi="Arial" w:cs="Arial"/>
          <w:color w:val="FF0000"/>
          <w:sz w:val="20"/>
          <w:szCs w:val="20"/>
        </w:rPr>
        <w:t xml:space="preserve"> L</w:t>
      </w:r>
      <w:r w:rsidRPr="0096637D">
        <w:rPr>
          <w:rFonts w:ascii="Arial" w:hAnsi="Arial" w:cs="Arial"/>
          <w:color w:val="FF0000"/>
          <w:sz w:val="20"/>
          <w:szCs w:val="20"/>
        </w:rPr>
        <w:t>e travailleur</w:t>
      </w:r>
    </w:p>
    <w:p w14:paraId="105AA5E6" w14:textId="77777777" w:rsidR="00B41350" w:rsidRDefault="00B41350" w:rsidP="00B41350">
      <w:pPr>
        <w:rPr>
          <w:rFonts w:ascii="Arial" w:hAnsi="Arial" w:cs="Arial"/>
          <w:sz w:val="28"/>
          <w:szCs w:val="28"/>
        </w:rPr>
      </w:pPr>
    </w:p>
    <w:p w14:paraId="1D641FD1" w14:textId="18E9E65B" w:rsidR="00B41350" w:rsidRDefault="00EA272C" w:rsidP="00EA272C">
      <w:pPr>
        <w:widowControl w:val="0"/>
        <w:autoSpaceDE w:val="0"/>
        <w:autoSpaceDN w:val="0"/>
        <w:adjustRightInd w:val="0"/>
        <w:ind w:firstLine="708"/>
        <w:jc w:val="both"/>
        <w:rPr>
          <w:rFonts w:ascii="Arial" w:hAnsi="Arial" w:cs="Arial"/>
          <w:sz w:val="28"/>
          <w:szCs w:val="28"/>
        </w:rPr>
      </w:pPr>
      <w:r>
        <w:rPr>
          <w:rFonts w:ascii="Arial" w:hAnsi="Arial" w:cs="Arial"/>
          <w:b/>
          <w:bCs/>
        </w:rPr>
        <w:t xml:space="preserve">* Agression sexuelle : caractérisation de la surprise. </w:t>
      </w:r>
    </w:p>
    <w:p w14:paraId="2722BB9B" w14:textId="025C501A" w:rsidR="00EA272C" w:rsidRPr="00B96862" w:rsidRDefault="00EA272C" w:rsidP="00EA272C">
      <w:pPr>
        <w:widowControl w:val="0"/>
        <w:autoSpaceDE w:val="0"/>
        <w:autoSpaceDN w:val="0"/>
        <w:adjustRightInd w:val="0"/>
        <w:rPr>
          <w:rFonts w:ascii="Arial" w:hAnsi="Arial" w:cs="Arial"/>
        </w:rPr>
      </w:pPr>
      <w:r w:rsidRPr="00B96862">
        <w:rPr>
          <w:rFonts w:ascii="Arial" w:hAnsi="Arial" w:cs="Arial"/>
        </w:rPr>
        <w:t>Cour de Cassation, chambre criminelle, 11 janvier 2017</w:t>
      </w:r>
    </w:p>
    <w:p w14:paraId="20B1A0C3" w14:textId="6B05AC42" w:rsidR="00DB7C8A" w:rsidRPr="00B96862" w:rsidRDefault="0079179F" w:rsidP="0079179F">
      <w:pPr>
        <w:jc w:val="both"/>
        <w:rPr>
          <w:rFonts w:ascii="Arial" w:hAnsi="Arial" w:cs="Arial"/>
        </w:rPr>
      </w:pPr>
      <w:r w:rsidRPr="00B96862">
        <w:rPr>
          <w:rFonts w:ascii="Arial" w:hAnsi="Arial" w:cs="Arial"/>
        </w:rPr>
        <w:t>« C</w:t>
      </w:r>
      <w:r w:rsidR="00712A6E" w:rsidRPr="00B96862">
        <w:rPr>
          <w:rFonts w:ascii="Arial" w:hAnsi="Arial" w:cs="Arial"/>
        </w:rPr>
        <w:t>onstitue le délit d'agression sexuelle commise par surprise, prévu par les articles 222-22 et 222-27 du code pénal, le fait de profiter, en connaissance de cause, de l'erreur d'identification commise par une personne pour pratiquer sur elle des gestes à caractère sexuel comportant un contact corporel</w:t>
      </w:r>
      <w:r w:rsidRPr="00B96862">
        <w:rPr>
          <w:rFonts w:ascii="Arial" w:hAnsi="Arial" w:cs="Arial"/>
        </w:rPr>
        <w:t> »</w:t>
      </w:r>
      <w:r w:rsidR="000B67FE" w:rsidRPr="00B96862">
        <w:rPr>
          <w:rFonts w:ascii="Arial" w:hAnsi="Arial" w:cs="Arial"/>
        </w:rPr>
        <w:t xml:space="preserve"> (la victime alcoolisée avait cru qu’il s’agissait de son compagnon venu la rejoindre dans le lit conjugal)</w:t>
      </w:r>
    </w:p>
    <w:p w14:paraId="0CDEA294" w14:textId="5B3846B0" w:rsidR="00712A6E" w:rsidRDefault="001F4F39" w:rsidP="00DB7C8A">
      <w:pPr>
        <w:rPr>
          <w:rFonts w:ascii="Arial" w:hAnsi="Arial" w:cs="Arial"/>
          <w:color w:val="040404"/>
          <w:sz w:val="16"/>
          <w:szCs w:val="16"/>
        </w:rPr>
      </w:pPr>
      <w:hyperlink r:id="rId26" w:history="1">
        <w:r w:rsidR="0079179F" w:rsidRPr="006F61B2">
          <w:rPr>
            <w:rStyle w:val="Lienhypertexte"/>
            <w:rFonts w:ascii="Arial" w:hAnsi="Arial" w:cs="Arial"/>
            <w:sz w:val="16"/>
            <w:szCs w:val="16"/>
          </w:rPr>
          <w:t>https://www.legifrance.gouv.fr/affichJuriJudi.do?oldAction=rechJuriJudi&amp;idTexte=JURITEXT000033880005&amp;fastReqId=1470100042&amp;fastPos=1</w:t>
        </w:r>
      </w:hyperlink>
    </w:p>
    <w:p w14:paraId="7851E038" w14:textId="77777777" w:rsidR="00DB7C8A" w:rsidRDefault="00DB7C8A" w:rsidP="00DB7C8A">
      <w:pPr>
        <w:rPr>
          <w:rFonts w:ascii="Arial" w:hAnsi="Arial" w:cs="Arial"/>
          <w:color w:val="040404"/>
        </w:rPr>
      </w:pPr>
    </w:p>
    <w:p w14:paraId="2628035B"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101841D0" w14:textId="6C5F6958" w:rsidR="007B6E88" w:rsidRPr="000E66FE" w:rsidRDefault="007B6E88" w:rsidP="007B6E88">
      <w:pPr>
        <w:pStyle w:val="Sansinterligne"/>
        <w:jc w:val="both"/>
        <w:rPr>
          <w:rFonts w:ascii="Arial" w:hAnsi="Arial" w:cs="Arial"/>
          <w:bCs/>
          <w:color w:val="FF0000"/>
          <w:sz w:val="20"/>
          <w:szCs w:val="20"/>
        </w:rPr>
      </w:pPr>
      <w:r>
        <w:rPr>
          <w:rFonts w:ascii="Arial" w:hAnsi="Arial" w:cs="Arial"/>
          <w:bCs/>
          <w:color w:val="FF0000"/>
          <w:sz w:val="20"/>
          <w:szCs w:val="20"/>
        </w:rPr>
        <w:t>DGEMC  - Thème 1.4 : La responsabilité.</w:t>
      </w:r>
      <w:r w:rsidR="00265C68">
        <w:rPr>
          <w:rFonts w:ascii="Arial" w:hAnsi="Arial" w:cs="Arial"/>
          <w:bCs/>
          <w:color w:val="FF0000"/>
          <w:sz w:val="20"/>
          <w:szCs w:val="20"/>
        </w:rPr>
        <w:t xml:space="preserve"> Thème 2</w:t>
      </w:r>
      <w:r w:rsidR="00265C68" w:rsidRPr="00265C68">
        <w:rPr>
          <w:rFonts w:ascii="Arial" w:hAnsi="Arial" w:cs="Arial"/>
          <w:bCs/>
          <w:color w:val="FF0000"/>
          <w:sz w:val="20"/>
          <w:szCs w:val="20"/>
        </w:rPr>
        <w:t>.11 L'auteur d'une infraction</w:t>
      </w:r>
    </w:p>
    <w:p w14:paraId="36C91CCF" w14:textId="77777777" w:rsidR="00B41350" w:rsidRDefault="00B41350" w:rsidP="00B41350">
      <w:pPr>
        <w:rPr>
          <w:rFonts w:ascii="Arial" w:hAnsi="Arial" w:cs="Arial"/>
          <w:sz w:val="28"/>
          <w:szCs w:val="28"/>
        </w:rPr>
      </w:pPr>
    </w:p>
    <w:p w14:paraId="27018B52" w14:textId="11DCE85C" w:rsidR="009B330E" w:rsidRPr="009B330E" w:rsidRDefault="009B330E" w:rsidP="009B330E">
      <w:pPr>
        <w:widowControl w:val="0"/>
        <w:autoSpaceDE w:val="0"/>
        <w:autoSpaceDN w:val="0"/>
        <w:adjustRightInd w:val="0"/>
        <w:ind w:firstLine="708"/>
        <w:jc w:val="both"/>
        <w:rPr>
          <w:rFonts w:ascii="Arial" w:hAnsi="Arial" w:cs="Arial"/>
          <w:b/>
          <w:bCs/>
        </w:rPr>
      </w:pPr>
      <w:r>
        <w:rPr>
          <w:rFonts w:ascii="Arial" w:hAnsi="Arial" w:cs="Arial"/>
          <w:b/>
          <w:bCs/>
        </w:rPr>
        <w:t xml:space="preserve">* </w:t>
      </w:r>
      <w:r w:rsidRPr="009B330E">
        <w:rPr>
          <w:rFonts w:ascii="Arial" w:hAnsi="Arial" w:cs="Arial"/>
          <w:b/>
          <w:bCs/>
        </w:rPr>
        <w:t xml:space="preserve">La responsabilité administrative </w:t>
      </w:r>
    </w:p>
    <w:p w14:paraId="4CE5C6B5" w14:textId="19240F64" w:rsidR="000E41A1" w:rsidRPr="00B96862" w:rsidRDefault="009B330E" w:rsidP="009B330E">
      <w:pPr>
        <w:widowControl w:val="0"/>
        <w:autoSpaceDE w:val="0"/>
        <w:autoSpaceDN w:val="0"/>
        <w:adjustRightInd w:val="0"/>
        <w:jc w:val="both"/>
        <w:rPr>
          <w:rFonts w:ascii="Arial" w:hAnsi="Arial" w:cs="Arial"/>
        </w:rPr>
      </w:pPr>
      <w:r w:rsidRPr="00B96862">
        <w:rPr>
          <w:rFonts w:ascii="Arial" w:hAnsi="Arial" w:cs="Arial"/>
        </w:rPr>
        <w:t>Conseil d’Etat</w:t>
      </w:r>
      <w:r w:rsidR="000E41A1" w:rsidRPr="00B96862">
        <w:rPr>
          <w:rFonts w:ascii="Arial" w:hAnsi="Arial" w:cs="Arial"/>
        </w:rPr>
        <w:t xml:space="preserve">, 26 avril 2017, M. et Mme K... </w:t>
      </w:r>
    </w:p>
    <w:p w14:paraId="2399323F" w14:textId="77777777" w:rsidR="00075D3E" w:rsidRDefault="009B330E" w:rsidP="00075D3E">
      <w:pPr>
        <w:widowControl w:val="0"/>
        <w:autoSpaceDE w:val="0"/>
        <w:autoSpaceDN w:val="0"/>
        <w:adjustRightInd w:val="0"/>
        <w:jc w:val="both"/>
        <w:rPr>
          <w:rFonts w:ascii="Arial" w:hAnsi="Arial" w:cs="Arial"/>
        </w:rPr>
      </w:pPr>
      <w:r w:rsidRPr="00B96862">
        <w:rPr>
          <w:rFonts w:ascii="Arial" w:hAnsi="Arial" w:cs="Arial"/>
        </w:rPr>
        <w:t>Condamnation de l’Etat du fait de la faute des services de police à indemniser le préjudice moral des parents d’une enfant mineure ayant pu sortir du territoire alors qu’elle était i</w:t>
      </w:r>
      <w:r w:rsidRPr="004368D5">
        <w:rPr>
          <w:rFonts w:ascii="Arial" w:hAnsi="Arial" w:cs="Arial"/>
        </w:rPr>
        <w:t>nscrite sur le fichier des personnes recherchées après avoir quitté le domicile de ses parents.</w:t>
      </w:r>
    </w:p>
    <w:p w14:paraId="2604E5CC" w14:textId="18E93DDA" w:rsidR="000E41A1" w:rsidRPr="00075D3E" w:rsidRDefault="001F4F39" w:rsidP="00075D3E">
      <w:pPr>
        <w:widowControl w:val="0"/>
        <w:autoSpaceDE w:val="0"/>
        <w:autoSpaceDN w:val="0"/>
        <w:adjustRightInd w:val="0"/>
        <w:jc w:val="both"/>
        <w:rPr>
          <w:rFonts w:ascii="Arial" w:hAnsi="Arial" w:cs="Arial"/>
        </w:rPr>
      </w:pPr>
      <w:hyperlink r:id="rId27" w:history="1">
        <w:r w:rsidR="000E41A1" w:rsidRPr="00075D3E">
          <w:rPr>
            <w:rStyle w:val="Lienhypertexte"/>
            <w:sz w:val="16"/>
            <w:szCs w:val="16"/>
          </w:rPr>
          <w:t>https://www.legifrance.gouv.fr/affichJuriAdmin.do?oldAction=rechJuriAdmin&amp;idTexte=CETATEXT000034496340&amp;fastReqId=814054637&amp;fastPos=1</w:t>
        </w:r>
      </w:hyperlink>
    </w:p>
    <w:p w14:paraId="46F6A33F" w14:textId="77777777" w:rsidR="00075D3E" w:rsidRDefault="00075D3E" w:rsidP="00B41350">
      <w:pPr>
        <w:pStyle w:val="Sansinterligne"/>
        <w:jc w:val="both"/>
        <w:rPr>
          <w:rFonts w:ascii="Arial" w:hAnsi="Arial" w:cs="Arial"/>
          <w:color w:val="FF0000"/>
          <w:sz w:val="20"/>
          <w:szCs w:val="20"/>
          <w:u w:val="single"/>
        </w:rPr>
      </w:pPr>
    </w:p>
    <w:p w14:paraId="4E9C1EE9" w14:textId="77777777" w:rsidR="00B41350" w:rsidRPr="00657FE2" w:rsidRDefault="00B41350" w:rsidP="00B41350">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01BD1274" w14:textId="4EFB75EA" w:rsidR="007B6E88" w:rsidRPr="000E66FE" w:rsidRDefault="007B6E88" w:rsidP="007B6E88">
      <w:pPr>
        <w:pStyle w:val="Sansinterligne"/>
        <w:jc w:val="both"/>
        <w:rPr>
          <w:rFonts w:ascii="Arial" w:hAnsi="Arial" w:cs="Arial"/>
          <w:bCs/>
          <w:color w:val="FF0000"/>
          <w:sz w:val="20"/>
          <w:szCs w:val="20"/>
        </w:rPr>
      </w:pPr>
      <w:r>
        <w:rPr>
          <w:rFonts w:ascii="Arial" w:hAnsi="Arial" w:cs="Arial"/>
          <w:bCs/>
          <w:color w:val="FF0000"/>
          <w:sz w:val="20"/>
          <w:szCs w:val="20"/>
        </w:rPr>
        <w:t>DGEMC  - Thème 1.4 : La responsabilité.</w:t>
      </w:r>
    </w:p>
    <w:p w14:paraId="4EE63A0C" w14:textId="77777777" w:rsidR="00B41350" w:rsidRPr="0096637D" w:rsidRDefault="00B41350" w:rsidP="00B41350">
      <w:pPr>
        <w:pStyle w:val="Sansinterligne"/>
        <w:jc w:val="both"/>
        <w:rPr>
          <w:rFonts w:ascii="Arial" w:hAnsi="Arial" w:cs="Arial"/>
          <w:color w:val="FF0000"/>
          <w:sz w:val="20"/>
          <w:szCs w:val="20"/>
        </w:rPr>
      </w:pPr>
    </w:p>
    <w:p w14:paraId="714DB426" w14:textId="77777777" w:rsidR="00B41350" w:rsidRDefault="00B41350" w:rsidP="00B41350">
      <w:pPr>
        <w:rPr>
          <w:rFonts w:ascii="Arial" w:hAnsi="Arial" w:cs="Arial"/>
          <w:sz w:val="28"/>
          <w:szCs w:val="28"/>
        </w:rPr>
      </w:pPr>
    </w:p>
    <w:p w14:paraId="1C54FCB4" w14:textId="77777777" w:rsidR="000E41A1" w:rsidRDefault="000E41A1" w:rsidP="000E41A1">
      <w:pPr>
        <w:pStyle w:val="NormalWeb"/>
        <w:shd w:val="clear" w:color="auto" w:fill="FFFFFF"/>
      </w:pPr>
    </w:p>
    <w:p w14:paraId="392DF8C8" w14:textId="77777777" w:rsidR="000E41A1" w:rsidRPr="00DB7C8A" w:rsidRDefault="000E41A1" w:rsidP="00DB7C8A"/>
    <w:sectPr w:rsidR="000E41A1" w:rsidRPr="00DB7C8A" w:rsidSect="000800FD">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93989"/>
    <w:multiLevelType w:val="multilevel"/>
    <w:tmpl w:val="DE3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B6280"/>
    <w:multiLevelType w:val="multilevel"/>
    <w:tmpl w:val="42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036E2"/>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8702E0"/>
    <w:multiLevelType w:val="multilevel"/>
    <w:tmpl w:val="DD6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239E9"/>
    <w:multiLevelType w:val="hybridMultilevel"/>
    <w:tmpl w:val="294E1A7C"/>
    <w:lvl w:ilvl="0" w:tplc="7AFEE984">
      <w:start w:val="15"/>
      <w:numFmt w:val="bullet"/>
      <w:lvlText w:val=""/>
      <w:lvlJc w:val="left"/>
      <w:pPr>
        <w:ind w:left="1068" w:hanging="360"/>
      </w:pPr>
      <w:rPr>
        <w:rFonts w:ascii="Symbol" w:eastAsiaTheme="minorEastAsia" w:hAnsi="Symbol" w:cs="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0763D1E"/>
    <w:multiLevelType w:val="hybridMultilevel"/>
    <w:tmpl w:val="5C12BB90"/>
    <w:lvl w:ilvl="0" w:tplc="AFFE102A">
      <w:start w:val="104"/>
      <w:numFmt w:val="bullet"/>
      <w:lvlText w:val="-"/>
      <w:lvlJc w:val="left"/>
      <w:pPr>
        <w:ind w:left="927" w:hanging="360"/>
      </w:pPr>
      <w:rPr>
        <w:rFonts w:ascii="Arial" w:eastAsiaTheme="minorEastAsia" w:hAnsi="Arial" w:cs="Aria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64A42AAD"/>
    <w:multiLevelType w:val="hybridMultilevel"/>
    <w:tmpl w:val="6ECAADE0"/>
    <w:lvl w:ilvl="0" w:tplc="6C3A8CFE">
      <w:start w:val="15"/>
      <w:numFmt w:val="bullet"/>
      <w:lvlText w:val=""/>
      <w:lvlJc w:val="left"/>
      <w:pPr>
        <w:ind w:left="1080" w:hanging="360"/>
      </w:pPr>
      <w:rPr>
        <w:rFonts w:ascii="Symbol" w:eastAsiaTheme="minorEastAsia" w:hAnsi="Symbo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B347271"/>
    <w:multiLevelType w:val="multilevel"/>
    <w:tmpl w:val="66E4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32C22"/>
    <w:multiLevelType w:val="multilevel"/>
    <w:tmpl w:val="B41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E7179"/>
    <w:multiLevelType w:val="hybridMultilevel"/>
    <w:tmpl w:val="353A5E1E"/>
    <w:lvl w:ilvl="0" w:tplc="5EF69BBE">
      <w:start w:val="15"/>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5"/>
  </w:num>
  <w:num w:numId="6">
    <w:abstractNumId w:val="7"/>
  </w:num>
  <w:num w:numId="7">
    <w:abstractNumId w:val="9"/>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5E"/>
    <w:rsid w:val="00000D26"/>
    <w:rsid w:val="00075D3E"/>
    <w:rsid w:val="000800FD"/>
    <w:rsid w:val="000B67FE"/>
    <w:rsid w:val="000E221A"/>
    <w:rsid w:val="000E41A1"/>
    <w:rsid w:val="001A323A"/>
    <w:rsid w:val="001B028F"/>
    <w:rsid w:val="001E74BD"/>
    <w:rsid w:val="001F4F39"/>
    <w:rsid w:val="00201985"/>
    <w:rsid w:val="0022540E"/>
    <w:rsid w:val="00247DB2"/>
    <w:rsid w:val="00253AC4"/>
    <w:rsid w:val="00265C68"/>
    <w:rsid w:val="00273C3C"/>
    <w:rsid w:val="00283E27"/>
    <w:rsid w:val="002F5ADF"/>
    <w:rsid w:val="003766E3"/>
    <w:rsid w:val="00377A59"/>
    <w:rsid w:val="003813F8"/>
    <w:rsid w:val="003A506B"/>
    <w:rsid w:val="003B4EDC"/>
    <w:rsid w:val="003D01D4"/>
    <w:rsid w:val="003D2EE3"/>
    <w:rsid w:val="0040185E"/>
    <w:rsid w:val="0041280B"/>
    <w:rsid w:val="00431E1D"/>
    <w:rsid w:val="00435BA1"/>
    <w:rsid w:val="004368D5"/>
    <w:rsid w:val="00460CEE"/>
    <w:rsid w:val="004662FC"/>
    <w:rsid w:val="004D23F0"/>
    <w:rsid w:val="00517437"/>
    <w:rsid w:val="00546792"/>
    <w:rsid w:val="005528C1"/>
    <w:rsid w:val="00564C0D"/>
    <w:rsid w:val="00577DD7"/>
    <w:rsid w:val="005D0F72"/>
    <w:rsid w:val="005D622B"/>
    <w:rsid w:val="00690164"/>
    <w:rsid w:val="0069317E"/>
    <w:rsid w:val="006A1C93"/>
    <w:rsid w:val="006C4DD6"/>
    <w:rsid w:val="006F0389"/>
    <w:rsid w:val="00712A6E"/>
    <w:rsid w:val="00741B75"/>
    <w:rsid w:val="0079179F"/>
    <w:rsid w:val="007B6E88"/>
    <w:rsid w:val="007B79DA"/>
    <w:rsid w:val="007E2EA1"/>
    <w:rsid w:val="0080351B"/>
    <w:rsid w:val="00822693"/>
    <w:rsid w:val="00857C44"/>
    <w:rsid w:val="008760E8"/>
    <w:rsid w:val="009007DF"/>
    <w:rsid w:val="0090229A"/>
    <w:rsid w:val="009052BD"/>
    <w:rsid w:val="00915970"/>
    <w:rsid w:val="009341D6"/>
    <w:rsid w:val="00935F6C"/>
    <w:rsid w:val="00964F6A"/>
    <w:rsid w:val="009B330E"/>
    <w:rsid w:val="00A229E1"/>
    <w:rsid w:val="00A36A06"/>
    <w:rsid w:val="00AD48FA"/>
    <w:rsid w:val="00B0027C"/>
    <w:rsid w:val="00B00D43"/>
    <w:rsid w:val="00B41350"/>
    <w:rsid w:val="00B96862"/>
    <w:rsid w:val="00B97186"/>
    <w:rsid w:val="00BD2363"/>
    <w:rsid w:val="00BF16C1"/>
    <w:rsid w:val="00CC1C46"/>
    <w:rsid w:val="00DB417F"/>
    <w:rsid w:val="00DB7C8A"/>
    <w:rsid w:val="00E17216"/>
    <w:rsid w:val="00E74686"/>
    <w:rsid w:val="00E7588E"/>
    <w:rsid w:val="00E937C2"/>
    <w:rsid w:val="00EA08E3"/>
    <w:rsid w:val="00EA272C"/>
    <w:rsid w:val="00EB646F"/>
    <w:rsid w:val="00EC1182"/>
    <w:rsid w:val="00ED438E"/>
    <w:rsid w:val="00EF5073"/>
    <w:rsid w:val="00EF5B46"/>
    <w:rsid w:val="00F35E08"/>
    <w:rsid w:val="00F42FA7"/>
    <w:rsid w:val="00F868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56833"/>
  <w14:defaultImageDpi w14:val="300"/>
  <w15:docId w15:val="{A59BF91C-3200-414D-BAB3-37FB49D1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B417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857C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E41A1"/>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0E41A1"/>
    <w:rPr>
      <w:color w:val="0000FF" w:themeColor="hyperlink"/>
      <w:u w:val="single"/>
    </w:rPr>
  </w:style>
  <w:style w:type="character" w:styleId="Lienhypertextesuivivisit">
    <w:name w:val="FollowedHyperlink"/>
    <w:basedOn w:val="Policepardfaut"/>
    <w:uiPriority w:val="99"/>
    <w:semiHidden/>
    <w:unhideWhenUsed/>
    <w:rsid w:val="00822693"/>
    <w:rPr>
      <w:color w:val="800080" w:themeColor="followedHyperlink"/>
      <w:u w:val="single"/>
    </w:rPr>
  </w:style>
  <w:style w:type="paragraph" w:styleId="Sansinterligne">
    <w:name w:val="No Spacing"/>
    <w:uiPriority w:val="1"/>
    <w:qFormat/>
    <w:rsid w:val="007B79DA"/>
  </w:style>
  <w:style w:type="paragraph" w:styleId="Textedebulles">
    <w:name w:val="Balloon Text"/>
    <w:basedOn w:val="Normal"/>
    <w:link w:val="TextedebullesCar"/>
    <w:uiPriority w:val="99"/>
    <w:semiHidden/>
    <w:unhideWhenUsed/>
    <w:rsid w:val="007B79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79DA"/>
    <w:rPr>
      <w:rFonts w:ascii="Lucida Grande" w:hAnsi="Lucida Grande" w:cs="Lucida Grande"/>
      <w:sz w:val="18"/>
      <w:szCs w:val="18"/>
    </w:rPr>
  </w:style>
  <w:style w:type="paragraph" w:styleId="Paragraphedeliste">
    <w:name w:val="List Paragraph"/>
    <w:basedOn w:val="Normal"/>
    <w:uiPriority w:val="34"/>
    <w:qFormat/>
    <w:rsid w:val="00964F6A"/>
    <w:pPr>
      <w:ind w:left="720"/>
      <w:contextualSpacing/>
    </w:pPr>
  </w:style>
  <w:style w:type="character" w:styleId="lev">
    <w:name w:val="Strong"/>
    <w:basedOn w:val="Policepardfaut"/>
    <w:uiPriority w:val="22"/>
    <w:qFormat/>
    <w:rsid w:val="00DB417F"/>
    <w:rPr>
      <w:b/>
      <w:bCs/>
    </w:rPr>
  </w:style>
  <w:style w:type="character" w:customStyle="1" w:styleId="Titre1Car">
    <w:name w:val="Titre 1 Car"/>
    <w:basedOn w:val="Policepardfaut"/>
    <w:link w:val="Titre1"/>
    <w:uiPriority w:val="9"/>
    <w:rsid w:val="00DB417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857C44"/>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4D2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0311">
      <w:bodyDiv w:val="1"/>
      <w:marLeft w:val="0"/>
      <w:marRight w:val="0"/>
      <w:marTop w:val="0"/>
      <w:marBottom w:val="0"/>
      <w:divBdr>
        <w:top w:val="none" w:sz="0" w:space="0" w:color="auto"/>
        <w:left w:val="none" w:sz="0" w:space="0" w:color="auto"/>
        <w:bottom w:val="none" w:sz="0" w:space="0" w:color="auto"/>
        <w:right w:val="none" w:sz="0" w:space="0" w:color="auto"/>
      </w:divBdr>
      <w:divsChild>
        <w:div w:id="807823281">
          <w:marLeft w:val="0"/>
          <w:marRight w:val="0"/>
          <w:marTop w:val="0"/>
          <w:marBottom w:val="0"/>
          <w:divBdr>
            <w:top w:val="none" w:sz="0" w:space="0" w:color="auto"/>
            <w:left w:val="none" w:sz="0" w:space="0" w:color="auto"/>
            <w:bottom w:val="none" w:sz="0" w:space="0" w:color="auto"/>
            <w:right w:val="none" w:sz="0" w:space="0" w:color="auto"/>
          </w:divBdr>
          <w:divsChild>
            <w:div w:id="199366949">
              <w:marLeft w:val="0"/>
              <w:marRight w:val="0"/>
              <w:marTop w:val="0"/>
              <w:marBottom w:val="0"/>
              <w:divBdr>
                <w:top w:val="none" w:sz="0" w:space="0" w:color="auto"/>
                <w:left w:val="none" w:sz="0" w:space="0" w:color="auto"/>
                <w:bottom w:val="none" w:sz="0" w:space="0" w:color="auto"/>
                <w:right w:val="none" w:sz="0" w:space="0" w:color="auto"/>
              </w:divBdr>
              <w:divsChild>
                <w:div w:id="198474147">
                  <w:marLeft w:val="0"/>
                  <w:marRight w:val="0"/>
                  <w:marTop w:val="0"/>
                  <w:marBottom w:val="0"/>
                  <w:divBdr>
                    <w:top w:val="none" w:sz="0" w:space="0" w:color="auto"/>
                    <w:left w:val="none" w:sz="0" w:space="0" w:color="auto"/>
                    <w:bottom w:val="none" w:sz="0" w:space="0" w:color="auto"/>
                    <w:right w:val="none" w:sz="0" w:space="0" w:color="auto"/>
                  </w:divBdr>
                  <w:divsChild>
                    <w:div w:id="19493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4160">
      <w:bodyDiv w:val="1"/>
      <w:marLeft w:val="0"/>
      <w:marRight w:val="0"/>
      <w:marTop w:val="0"/>
      <w:marBottom w:val="0"/>
      <w:divBdr>
        <w:top w:val="none" w:sz="0" w:space="0" w:color="auto"/>
        <w:left w:val="none" w:sz="0" w:space="0" w:color="auto"/>
        <w:bottom w:val="none" w:sz="0" w:space="0" w:color="auto"/>
        <w:right w:val="none" w:sz="0" w:space="0" w:color="auto"/>
      </w:divBdr>
      <w:divsChild>
        <w:div w:id="1368683466">
          <w:marLeft w:val="0"/>
          <w:marRight w:val="0"/>
          <w:marTop w:val="0"/>
          <w:marBottom w:val="0"/>
          <w:divBdr>
            <w:top w:val="none" w:sz="0" w:space="0" w:color="auto"/>
            <w:left w:val="none" w:sz="0" w:space="0" w:color="auto"/>
            <w:bottom w:val="none" w:sz="0" w:space="0" w:color="auto"/>
            <w:right w:val="none" w:sz="0" w:space="0" w:color="auto"/>
          </w:divBdr>
          <w:divsChild>
            <w:div w:id="1452506723">
              <w:marLeft w:val="0"/>
              <w:marRight w:val="0"/>
              <w:marTop w:val="0"/>
              <w:marBottom w:val="0"/>
              <w:divBdr>
                <w:top w:val="none" w:sz="0" w:space="0" w:color="auto"/>
                <w:left w:val="none" w:sz="0" w:space="0" w:color="auto"/>
                <w:bottom w:val="none" w:sz="0" w:space="0" w:color="auto"/>
                <w:right w:val="none" w:sz="0" w:space="0" w:color="auto"/>
              </w:divBdr>
              <w:divsChild>
                <w:div w:id="721246116">
                  <w:marLeft w:val="0"/>
                  <w:marRight w:val="0"/>
                  <w:marTop w:val="0"/>
                  <w:marBottom w:val="0"/>
                  <w:divBdr>
                    <w:top w:val="none" w:sz="0" w:space="0" w:color="auto"/>
                    <w:left w:val="none" w:sz="0" w:space="0" w:color="auto"/>
                    <w:bottom w:val="none" w:sz="0" w:space="0" w:color="auto"/>
                    <w:right w:val="none" w:sz="0" w:space="0" w:color="auto"/>
                  </w:divBdr>
                  <w:divsChild>
                    <w:div w:id="1538661582">
                      <w:marLeft w:val="0"/>
                      <w:marRight w:val="0"/>
                      <w:marTop w:val="0"/>
                      <w:marBottom w:val="0"/>
                      <w:divBdr>
                        <w:top w:val="none" w:sz="0" w:space="0" w:color="auto"/>
                        <w:left w:val="none" w:sz="0" w:space="0" w:color="auto"/>
                        <w:bottom w:val="none" w:sz="0" w:space="0" w:color="auto"/>
                        <w:right w:val="none" w:sz="0" w:space="0" w:color="auto"/>
                      </w:divBdr>
                      <w:divsChild>
                        <w:div w:id="932317424">
                          <w:marLeft w:val="0"/>
                          <w:marRight w:val="0"/>
                          <w:marTop w:val="0"/>
                          <w:marBottom w:val="0"/>
                          <w:divBdr>
                            <w:top w:val="none" w:sz="0" w:space="0" w:color="auto"/>
                            <w:left w:val="none" w:sz="0" w:space="0" w:color="auto"/>
                            <w:bottom w:val="none" w:sz="0" w:space="0" w:color="auto"/>
                            <w:right w:val="none" w:sz="0" w:space="0" w:color="auto"/>
                          </w:divBdr>
                          <w:divsChild>
                            <w:div w:id="930162569">
                              <w:marLeft w:val="0"/>
                              <w:marRight w:val="0"/>
                              <w:marTop w:val="0"/>
                              <w:marBottom w:val="0"/>
                              <w:divBdr>
                                <w:top w:val="none" w:sz="0" w:space="0" w:color="auto"/>
                                <w:left w:val="none" w:sz="0" w:space="0" w:color="auto"/>
                                <w:bottom w:val="none" w:sz="0" w:space="0" w:color="auto"/>
                                <w:right w:val="none" w:sz="0" w:space="0" w:color="auto"/>
                              </w:divBdr>
                              <w:divsChild>
                                <w:div w:id="545682031">
                                  <w:marLeft w:val="0"/>
                                  <w:marRight w:val="0"/>
                                  <w:marTop w:val="0"/>
                                  <w:marBottom w:val="0"/>
                                  <w:divBdr>
                                    <w:top w:val="none" w:sz="0" w:space="0" w:color="auto"/>
                                    <w:left w:val="none" w:sz="0" w:space="0" w:color="auto"/>
                                    <w:bottom w:val="none" w:sz="0" w:space="0" w:color="auto"/>
                                    <w:right w:val="none" w:sz="0" w:space="0" w:color="auto"/>
                                  </w:divBdr>
                                  <w:divsChild>
                                    <w:div w:id="1781297471">
                                      <w:marLeft w:val="0"/>
                                      <w:marRight w:val="0"/>
                                      <w:marTop w:val="0"/>
                                      <w:marBottom w:val="0"/>
                                      <w:divBdr>
                                        <w:top w:val="none" w:sz="0" w:space="0" w:color="auto"/>
                                        <w:left w:val="none" w:sz="0" w:space="0" w:color="auto"/>
                                        <w:bottom w:val="none" w:sz="0" w:space="0" w:color="auto"/>
                                        <w:right w:val="none" w:sz="0" w:space="0" w:color="auto"/>
                                      </w:divBdr>
                                      <w:divsChild>
                                        <w:div w:id="339553409">
                                          <w:marLeft w:val="0"/>
                                          <w:marRight w:val="0"/>
                                          <w:marTop w:val="0"/>
                                          <w:marBottom w:val="0"/>
                                          <w:divBdr>
                                            <w:top w:val="none" w:sz="0" w:space="0" w:color="auto"/>
                                            <w:left w:val="none" w:sz="0" w:space="0" w:color="auto"/>
                                            <w:bottom w:val="none" w:sz="0" w:space="0" w:color="auto"/>
                                            <w:right w:val="none" w:sz="0" w:space="0" w:color="auto"/>
                                          </w:divBdr>
                                          <w:divsChild>
                                            <w:div w:id="203904483">
                                              <w:marLeft w:val="0"/>
                                              <w:marRight w:val="0"/>
                                              <w:marTop w:val="0"/>
                                              <w:marBottom w:val="0"/>
                                              <w:divBdr>
                                                <w:top w:val="none" w:sz="0" w:space="0" w:color="auto"/>
                                                <w:left w:val="none" w:sz="0" w:space="0" w:color="auto"/>
                                                <w:bottom w:val="none" w:sz="0" w:space="0" w:color="auto"/>
                                                <w:right w:val="none" w:sz="0" w:space="0" w:color="auto"/>
                                              </w:divBdr>
                                              <w:divsChild>
                                                <w:div w:id="1816412492">
                                                  <w:marLeft w:val="0"/>
                                                  <w:marRight w:val="0"/>
                                                  <w:marTop w:val="0"/>
                                                  <w:marBottom w:val="0"/>
                                                  <w:divBdr>
                                                    <w:top w:val="none" w:sz="0" w:space="0" w:color="auto"/>
                                                    <w:left w:val="none" w:sz="0" w:space="0" w:color="auto"/>
                                                    <w:bottom w:val="none" w:sz="0" w:space="0" w:color="auto"/>
                                                    <w:right w:val="none" w:sz="0" w:space="0" w:color="auto"/>
                                                  </w:divBdr>
                                                  <w:divsChild>
                                                    <w:div w:id="1169952221">
                                                      <w:marLeft w:val="0"/>
                                                      <w:marRight w:val="0"/>
                                                      <w:marTop w:val="0"/>
                                                      <w:marBottom w:val="0"/>
                                                      <w:divBdr>
                                                        <w:top w:val="none" w:sz="0" w:space="0" w:color="auto"/>
                                                        <w:left w:val="none" w:sz="0" w:space="0" w:color="auto"/>
                                                        <w:bottom w:val="none" w:sz="0" w:space="0" w:color="auto"/>
                                                        <w:right w:val="none" w:sz="0" w:space="0" w:color="auto"/>
                                                      </w:divBdr>
                                                      <w:divsChild>
                                                        <w:div w:id="202014597">
                                                          <w:marLeft w:val="0"/>
                                                          <w:marRight w:val="0"/>
                                                          <w:marTop w:val="0"/>
                                                          <w:marBottom w:val="0"/>
                                                          <w:divBdr>
                                                            <w:top w:val="none" w:sz="0" w:space="0" w:color="auto"/>
                                                            <w:left w:val="none" w:sz="0" w:space="0" w:color="auto"/>
                                                            <w:bottom w:val="none" w:sz="0" w:space="0" w:color="auto"/>
                                                            <w:right w:val="none" w:sz="0" w:space="0" w:color="auto"/>
                                                          </w:divBdr>
                                                          <w:divsChild>
                                                            <w:div w:id="461314167">
                                                              <w:marLeft w:val="0"/>
                                                              <w:marRight w:val="0"/>
                                                              <w:marTop w:val="0"/>
                                                              <w:marBottom w:val="0"/>
                                                              <w:divBdr>
                                                                <w:top w:val="none" w:sz="0" w:space="0" w:color="auto"/>
                                                                <w:left w:val="none" w:sz="0" w:space="0" w:color="auto"/>
                                                                <w:bottom w:val="none" w:sz="0" w:space="0" w:color="auto"/>
                                                                <w:right w:val="none" w:sz="0" w:space="0" w:color="auto"/>
                                                              </w:divBdr>
                                                              <w:divsChild>
                                                                <w:div w:id="13361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803225">
      <w:bodyDiv w:val="1"/>
      <w:marLeft w:val="0"/>
      <w:marRight w:val="0"/>
      <w:marTop w:val="0"/>
      <w:marBottom w:val="0"/>
      <w:divBdr>
        <w:top w:val="none" w:sz="0" w:space="0" w:color="auto"/>
        <w:left w:val="none" w:sz="0" w:space="0" w:color="auto"/>
        <w:bottom w:val="none" w:sz="0" w:space="0" w:color="auto"/>
        <w:right w:val="none" w:sz="0" w:space="0" w:color="auto"/>
      </w:divBdr>
      <w:divsChild>
        <w:div w:id="1025793002">
          <w:marLeft w:val="0"/>
          <w:marRight w:val="0"/>
          <w:marTop w:val="0"/>
          <w:marBottom w:val="0"/>
          <w:divBdr>
            <w:top w:val="none" w:sz="0" w:space="0" w:color="auto"/>
            <w:left w:val="none" w:sz="0" w:space="0" w:color="auto"/>
            <w:bottom w:val="none" w:sz="0" w:space="0" w:color="auto"/>
            <w:right w:val="none" w:sz="0" w:space="0" w:color="auto"/>
          </w:divBdr>
          <w:divsChild>
            <w:div w:id="2095055877">
              <w:marLeft w:val="0"/>
              <w:marRight w:val="0"/>
              <w:marTop w:val="0"/>
              <w:marBottom w:val="0"/>
              <w:divBdr>
                <w:top w:val="none" w:sz="0" w:space="0" w:color="auto"/>
                <w:left w:val="none" w:sz="0" w:space="0" w:color="auto"/>
                <w:bottom w:val="none" w:sz="0" w:space="0" w:color="auto"/>
                <w:right w:val="none" w:sz="0" w:space="0" w:color="auto"/>
              </w:divBdr>
              <w:divsChild>
                <w:div w:id="1883056397">
                  <w:marLeft w:val="0"/>
                  <w:marRight w:val="0"/>
                  <w:marTop w:val="0"/>
                  <w:marBottom w:val="0"/>
                  <w:divBdr>
                    <w:top w:val="none" w:sz="0" w:space="0" w:color="auto"/>
                    <w:left w:val="none" w:sz="0" w:space="0" w:color="auto"/>
                    <w:bottom w:val="none" w:sz="0" w:space="0" w:color="auto"/>
                    <w:right w:val="none" w:sz="0" w:space="0" w:color="auto"/>
                  </w:divBdr>
                  <w:divsChild>
                    <w:div w:id="45763756">
                      <w:marLeft w:val="0"/>
                      <w:marRight w:val="0"/>
                      <w:marTop w:val="0"/>
                      <w:marBottom w:val="0"/>
                      <w:divBdr>
                        <w:top w:val="none" w:sz="0" w:space="0" w:color="auto"/>
                        <w:left w:val="none" w:sz="0" w:space="0" w:color="auto"/>
                        <w:bottom w:val="none" w:sz="0" w:space="0" w:color="auto"/>
                        <w:right w:val="none" w:sz="0" w:space="0" w:color="auto"/>
                      </w:divBdr>
                      <w:divsChild>
                        <w:div w:id="1330868459">
                          <w:marLeft w:val="0"/>
                          <w:marRight w:val="0"/>
                          <w:marTop w:val="0"/>
                          <w:marBottom w:val="0"/>
                          <w:divBdr>
                            <w:top w:val="none" w:sz="0" w:space="0" w:color="auto"/>
                            <w:left w:val="none" w:sz="0" w:space="0" w:color="auto"/>
                            <w:bottom w:val="none" w:sz="0" w:space="0" w:color="auto"/>
                            <w:right w:val="none" w:sz="0" w:space="0" w:color="auto"/>
                          </w:divBdr>
                          <w:divsChild>
                            <w:div w:id="2024283657">
                              <w:marLeft w:val="0"/>
                              <w:marRight w:val="0"/>
                              <w:marTop w:val="0"/>
                              <w:marBottom w:val="0"/>
                              <w:divBdr>
                                <w:top w:val="none" w:sz="0" w:space="0" w:color="auto"/>
                                <w:left w:val="none" w:sz="0" w:space="0" w:color="auto"/>
                                <w:bottom w:val="none" w:sz="0" w:space="0" w:color="auto"/>
                                <w:right w:val="none" w:sz="0" w:space="0" w:color="auto"/>
                              </w:divBdr>
                              <w:divsChild>
                                <w:div w:id="1550845392">
                                  <w:marLeft w:val="0"/>
                                  <w:marRight w:val="0"/>
                                  <w:marTop w:val="0"/>
                                  <w:marBottom w:val="0"/>
                                  <w:divBdr>
                                    <w:top w:val="none" w:sz="0" w:space="0" w:color="auto"/>
                                    <w:left w:val="none" w:sz="0" w:space="0" w:color="auto"/>
                                    <w:bottom w:val="none" w:sz="0" w:space="0" w:color="auto"/>
                                    <w:right w:val="none" w:sz="0" w:space="0" w:color="auto"/>
                                  </w:divBdr>
                                  <w:divsChild>
                                    <w:div w:id="20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897953">
      <w:bodyDiv w:val="1"/>
      <w:marLeft w:val="0"/>
      <w:marRight w:val="0"/>
      <w:marTop w:val="0"/>
      <w:marBottom w:val="0"/>
      <w:divBdr>
        <w:top w:val="none" w:sz="0" w:space="0" w:color="auto"/>
        <w:left w:val="none" w:sz="0" w:space="0" w:color="auto"/>
        <w:bottom w:val="none" w:sz="0" w:space="0" w:color="auto"/>
        <w:right w:val="none" w:sz="0" w:space="0" w:color="auto"/>
      </w:divBdr>
      <w:divsChild>
        <w:div w:id="198052640">
          <w:marLeft w:val="0"/>
          <w:marRight w:val="0"/>
          <w:marTop w:val="0"/>
          <w:marBottom w:val="0"/>
          <w:divBdr>
            <w:top w:val="none" w:sz="0" w:space="0" w:color="auto"/>
            <w:left w:val="none" w:sz="0" w:space="0" w:color="auto"/>
            <w:bottom w:val="none" w:sz="0" w:space="0" w:color="auto"/>
            <w:right w:val="none" w:sz="0" w:space="0" w:color="auto"/>
          </w:divBdr>
          <w:divsChild>
            <w:div w:id="1879732052">
              <w:marLeft w:val="0"/>
              <w:marRight w:val="0"/>
              <w:marTop w:val="0"/>
              <w:marBottom w:val="0"/>
              <w:divBdr>
                <w:top w:val="none" w:sz="0" w:space="0" w:color="auto"/>
                <w:left w:val="none" w:sz="0" w:space="0" w:color="auto"/>
                <w:bottom w:val="none" w:sz="0" w:space="0" w:color="auto"/>
                <w:right w:val="none" w:sz="0" w:space="0" w:color="auto"/>
              </w:divBdr>
              <w:divsChild>
                <w:div w:id="56632555">
                  <w:marLeft w:val="0"/>
                  <w:marRight w:val="0"/>
                  <w:marTop w:val="0"/>
                  <w:marBottom w:val="0"/>
                  <w:divBdr>
                    <w:top w:val="none" w:sz="0" w:space="0" w:color="auto"/>
                    <w:left w:val="none" w:sz="0" w:space="0" w:color="auto"/>
                    <w:bottom w:val="none" w:sz="0" w:space="0" w:color="auto"/>
                    <w:right w:val="none" w:sz="0" w:space="0" w:color="auto"/>
                  </w:divBdr>
                  <w:divsChild>
                    <w:div w:id="13913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18585">
      <w:bodyDiv w:val="1"/>
      <w:marLeft w:val="0"/>
      <w:marRight w:val="0"/>
      <w:marTop w:val="0"/>
      <w:marBottom w:val="0"/>
      <w:divBdr>
        <w:top w:val="none" w:sz="0" w:space="0" w:color="auto"/>
        <w:left w:val="none" w:sz="0" w:space="0" w:color="auto"/>
        <w:bottom w:val="none" w:sz="0" w:space="0" w:color="auto"/>
        <w:right w:val="none" w:sz="0" w:space="0" w:color="auto"/>
      </w:divBdr>
      <w:divsChild>
        <w:div w:id="1867022060">
          <w:marLeft w:val="0"/>
          <w:marRight w:val="0"/>
          <w:marTop w:val="0"/>
          <w:marBottom w:val="0"/>
          <w:divBdr>
            <w:top w:val="none" w:sz="0" w:space="0" w:color="auto"/>
            <w:left w:val="none" w:sz="0" w:space="0" w:color="auto"/>
            <w:bottom w:val="none" w:sz="0" w:space="0" w:color="auto"/>
            <w:right w:val="none" w:sz="0" w:space="0" w:color="auto"/>
          </w:divBdr>
          <w:divsChild>
            <w:div w:id="1013532229">
              <w:marLeft w:val="0"/>
              <w:marRight w:val="0"/>
              <w:marTop w:val="0"/>
              <w:marBottom w:val="0"/>
              <w:divBdr>
                <w:top w:val="none" w:sz="0" w:space="0" w:color="auto"/>
                <w:left w:val="none" w:sz="0" w:space="0" w:color="auto"/>
                <w:bottom w:val="none" w:sz="0" w:space="0" w:color="auto"/>
                <w:right w:val="none" w:sz="0" w:space="0" w:color="auto"/>
              </w:divBdr>
              <w:divsChild>
                <w:div w:id="2052995544">
                  <w:marLeft w:val="0"/>
                  <w:marRight w:val="0"/>
                  <w:marTop w:val="0"/>
                  <w:marBottom w:val="0"/>
                  <w:divBdr>
                    <w:top w:val="none" w:sz="0" w:space="0" w:color="auto"/>
                    <w:left w:val="none" w:sz="0" w:space="0" w:color="auto"/>
                    <w:bottom w:val="none" w:sz="0" w:space="0" w:color="auto"/>
                    <w:right w:val="none" w:sz="0" w:space="0" w:color="auto"/>
                  </w:divBdr>
                  <w:divsChild>
                    <w:div w:id="2105879511">
                      <w:marLeft w:val="0"/>
                      <w:marRight w:val="0"/>
                      <w:marTop w:val="0"/>
                      <w:marBottom w:val="0"/>
                      <w:divBdr>
                        <w:top w:val="none" w:sz="0" w:space="0" w:color="auto"/>
                        <w:left w:val="none" w:sz="0" w:space="0" w:color="auto"/>
                        <w:bottom w:val="none" w:sz="0" w:space="0" w:color="auto"/>
                        <w:right w:val="none" w:sz="0" w:space="0" w:color="auto"/>
                      </w:divBdr>
                      <w:divsChild>
                        <w:div w:id="865631924">
                          <w:marLeft w:val="0"/>
                          <w:marRight w:val="0"/>
                          <w:marTop w:val="0"/>
                          <w:marBottom w:val="0"/>
                          <w:divBdr>
                            <w:top w:val="none" w:sz="0" w:space="0" w:color="auto"/>
                            <w:left w:val="none" w:sz="0" w:space="0" w:color="auto"/>
                            <w:bottom w:val="none" w:sz="0" w:space="0" w:color="auto"/>
                            <w:right w:val="none" w:sz="0" w:space="0" w:color="auto"/>
                          </w:divBdr>
                          <w:divsChild>
                            <w:div w:id="408968580">
                              <w:marLeft w:val="0"/>
                              <w:marRight w:val="0"/>
                              <w:marTop w:val="0"/>
                              <w:marBottom w:val="0"/>
                              <w:divBdr>
                                <w:top w:val="none" w:sz="0" w:space="0" w:color="auto"/>
                                <w:left w:val="none" w:sz="0" w:space="0" w:color="auto"/>
                                <w:bottom w:val="none" w:sz="0" w:space="0" w:color="auto"/>
                                <w:right w:val="none" w:sz="0" w:space="0" w:color="auto"/>
                              </w:divBdr>
                              <w:divsChild>
                                <w:div w:id="158884418">
                                  <w:marLeft w:val="0"/>
                                  <w:marRight w:val="0"/>
                                  <w:marTop w:val="0"/>
                                  <w:marBottom w:val="0"/>
                                  <w:divBdr>
                                    <w:top w:val="none" w:sz="0" w:space="0" w:color="auto"/>
                                    <w:left w:val="none" w:sz="0" w:space="0" w:color="auto"/>
                                    <w:bottom w:val="none" w:sz="0" w:space="0" w:color="auto"/>
                                    <w:right w:val="none" w:sz="0" w:space="0" w:color="auto"/>
                                  </w:divBdr>
                                  <w:divsChild>
                                    <w:div w:id="6060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2887">
      <w:bodyDiv w:val="1"/>
      <w:marLeft w:val="0"/>
      <w:marRight w:val="0"/>
      <w:marTop w:val="0"/>
      <w:marBottom w:val="0"/>
      <w:divBdr>
        <w:top w:val="none" w:sz="0" w:space="0" w:color="auto"/>
        <w:left w:val="none" w:sz="0" w:space="0" w:color="auto"/>
        <w:bottom w:val="none" w:sz="0" w:space="0" w:color="auto"/>
        <w:right w:val="none" w:sz="0" w:space="0" w:color="auto"/>
      </w:divBdr>
      <w:divsChild>
        <w:div w:id="1049955965">
          <w:marLeft w:val="0"/>
          <w:marRight w:val="0"/>
          <w:marTop w:val="0"/>
          <w:marBottom w:val="0"/>
          <w:divBdr>
            <w:top w:val="none" w:sz="0" w:space="0" w:color="auto"/>
            <w:left w:val="none" w:sz="0" w:space="0" w:color="auto"/>
            <w:bottom w:val="none" w:sz="0" w:space="0" w:color="auto"/>
            <w:right w:val="none" w:sz="0" w:space="0" w:color="auto"/>
          </w:divBdr>
          <w:divsChild>
            <w:div w:id="248971496">
              <w:marLeft w:val="0"/>
              <w:marRight w:val="0"/>
              <w:marTop w:val="0"/>
              <w:marBottom w:val="0"/>
              <w:divBdr>
                <w:top w:val="none" w:sz="0" w:space="0" w:color="auto"/>
                <w:left w:val="none" w:sz="0" w:space="0" w:color="auto"/>
                <w:bottom w:val="none" w:sz="0" w:space="0" w:color="auto"/>
                <w:right w:val="none" w:sz="0" w:space="0" w:color="auto"/>
              </w:divBdr>
              <w:divsChild>
                <w:div w:id="1866865449">
                  <w:marLeft w:val="0"/>
                  <w:marRight w:val="0"/>
                  <w:marTop w:val="0"/>
                  <w:marBottom w:val="0"/>
                  <w:divBdr>
                    <w:top w:val="none" w:sz="0" w:space="0" w:color="auto"/>
                    <w:left w:val="none" w:sz="0" w:space="0" w:color="auto"/>
                    <w:bottom w:val="none" w:sz="0" w:space="0" w:color="auto"/>
                    <w:right w:val="none" w:sz="0" w:space="0" w:color="auto"/>
                  </w:divBdr>
                  <w:divsChild>
                    <w:div w:id="596211570">
                      <w:marLeft w:val="0"/>
                      <w:marRight w:val="0"/>
                      <w:marTop w:val="0"/>
                      <w:marBottom w:val="0"/>
                      <w:divBdr>
                        <w:top w:val="none" w:sz="0" w:space="0" w:color="auto"/>
                        <w:left w:val="none" w:sz="0" w:space="0" w:color="auto"/>
                        <w:bottom w:val="none" w:sz="0" w:space="0" w:color="auto"/>
                        <w:right w:val="none" w:sz="0" w:space="0" w:color="auto"/>
                      </w:divBdr>
                      <w:divsChild>
                        <w:div w:id="213929667">
                          <w:marLeft w:val="0"/>
                          <w:marRight w:val="0"/>
                          <w:marTop w:val="0"/>
                          <w:marBottom w:val="0"/>
                          <w:divBdr>
                            <w:top w:val="none" w:sz="0" w:space="0" w:color="auto"/>
                            <w:left w:val="none" w:sz="0" w:space="0" w:color="auto"/>
                            <w:bottom w:val="none" w:sz="0" w:space="0" w:color="auto"/>
                            <w:right w:val="none" w:sz="0" w:space="0" w:color="auto"/>
                          </w:divBdr>
                          <w:divsChild>
                            <w:div w:id="1506361852">
                              <w:marLeft w:val="0"/>
                              <w:marRight w:val="0"/>
                              <w:marTop w:val="0"/>
                              <w:marBottom w:val="0"/>
                              <w:divBdr>
                                <w:top w:val="none" w:sz="0" w:space="0" w:color="auto"/>
                                <w:left w:val="none" w:sz="0" w:space="0" w:color="auto"/>
                                <w:bottom w:val="none" w:sz="0" w:space="0" w:color="auto"/>
                                <w:right w:val="none" w:sz="0" w:space="0" w:color="auto"/>
                              </w:divBdr>
                              <w:divsChild>
                                <w:div w:id="362635533">
                                  <w:marLeft w:val="0"/>
                                  <w:marRight w:val="0"/>
                                  <w:marTop w:val="0"/>
                                  <w:marBottom w:val="0"/>
                                  <w:divBdr>
                                    <w:top w:val="none" w:sz="0" w:space="0" w:color="auto"/>
                                    <w:left w:val="none" w:sz="0" w:space="0" w:color="auto"/>
                                    <w:bottom w:val="none" w:sz="0" w:space="0" w:color="auto"/>
                                    <w:right w:val="none" w:sz="0" w:space="0" w:color="auto"/>
                                  </w:divBdr>
                                  <w:divsChild>
                                    <w:div w:id="5996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4040">
      <w:bodyDiv w:val="1"/>
      <w:marLeft w:val="0"/>
      <w:marRight w:val="0"/>
      <w:marTop w:val="0"/>
      <w:marBottom w:val="0"/>
      <w:divBdr>
        <w:top w:val="none" w:sz="0" w:space="0" w:color="auto"/>
        <w:left w:val="none" w:sz="0" w:space="0" w:color="auto"/>
        <w:bottom w:val="none" w:sz="0" w:space="0" w:color="auto"/>
        <w:right w:val="none" w:sz="0" w:space="0" w:color="auto"/>
      </w:divBdr>
      <w:divsChild>
        <w:div w:id="695082309">
          <w:marLeft w:val="0"/>
          <w:marRight w:val="0"/>
          <w:marTop w:val="0"/>
          <w:marBottom w:val="0"/>
          <w:divBdr>
            <w:top w:val="none" w:sz="0" w:space="0" w:color="auto"/>
            <w:left w:val="none" w:sz="0" w:space="0" w:color="auto"/>
            <w:bottom w:val="none" w:sz="0" w:space="0" w:color="auto"/>
            <w:right w:val="none" w:sz="0" w:space="0" w:color="auto"/>
          </w:divBdr>
          <w:divsChild>
            <w:div w:id="1400445635">
              <w:marLeft w:val="0"/>
              <w:marRight w:val="0"/>
              <w:marTop w:val="0"/>
              <w:marBottom w:val="0"/>
              <w:divBdr>
                <w:top w:val="none" w:sz="0" w:space="0" w:color="auto"/>
                <w:left w:val="none" w:sz="0" w:space="0" w:color="auto"/>
                <w:bottom w:val="none" w:sz="0" w:space="0" w:color="auto"/>
                <w:right w:val="none" w:sz="0" w:space="0" w:color="auto"/>
              </w:divBdr>
              <w:divsChild>
                <w:div w:id="831262656">
                  <w:marLeft w:val="0"/>
                  <w:marRight w:val="0"/>
                  <w:marTop w:val="0"/>
                  <w:marBottom w:val="0"/>
                  <w:divBdr>
                    <w:top w:val="none" w:sz="0" w:space="0" w:color="auto"/>
                    <w:left w:val="none" w:sz="0" w:space="0" w:color="auto"/>
                    <w:bottom w:val="none" w:sz="0" w:space="0" w:color="auto"/>
                    <w:right w:val="none" w:sz="0" w:space="0" w:color="auto"/>
                  </w:divBdr>
                  <w:divsChild>
                    <w:div w:id="14594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26644">
      <w:bodyDiv w:val="1"/>
      <w:marLeft w:val="0"/>
      <w:marRight w:val="0"/>
      <w:marTop w:val="0"/>
      <w:marBottom w:val="0"/>
      <w:divBdr>
        <w:top w:val="none" w:sz="0" w:space="0" w:color="auto"/>
        <w:left w:val="none" w:sz="0" w:space="0" w:color="auto"/>
        <w:bottom w:val="none" w:sz="0" w:space="0" w:color="auto"/>
        <w:right w:val="none" w:sz="0" w:space="0" w:color="auto"/>
      </w:divBdr>
      <w:divsChild>
        <w:div w:id="601956310">
          <w:marLeft w:val="0"/>
          <w:marRight w:val="0"/>
          <w:marTop w:val="0"/>
          <w:marBottom w:val="0"/>
          <w:divBdr>
            <w:top w:val="none" w:sz="0" w:space="0" w:color="auto"/>
            <w:left w:val="none" w:sz="0" w:space="0" w:color="auto"/>
            <w:bottom w:val="none" w:sz="0" w:space="0" w:color="auto"/>
            <w:right w:val="none" w:sz="0" w:space="0" w:color="auto"/>
          </w:divBdr>
        </w:div>
      </w:divsChild>
    </w:div>
    <w:div w:id="1877893063">
      <w:bodyDiv w:val="1"/>
      <w:marLeft w:val="0"/>
      <w:marRight w:val="0"/>
      <w:marTop w:val="0"/>
      <w:marBottom w:val="0"/>
      <w:divBdr>
        <w:top w:val="none" w:sz="0" w:space="0" w:color="auto"/>
        <w:left w:val="none" w:sz="0" w:space="0" w:color="auto"/>
        <w:bottom w:val="none" w:sz="0" w:space="0" w:color="auto"/>
        <w:right w:val="none" w:sz="0" w:space="0" w:color="auto"/>
      </w:divBdr>
      <w:divsChild>
        <w:div w:id="705103765">
          <w:marLeft w:val="0"/>
          <w:marRight w:val="0"/>
          <w:marTop w:val="0"/>
          <w:marBottom w:val="0"/>
          <w:divBdr>
            <w:top w:val="none" w:sz="0" w:space="0" w:color="auto"/>
            <w:left w:val="none" w:sz="0" w:space="0" w:color="auto"/>
            <w:bottom w:val="none" w:sz="0" w:space="0" w:color="auto"/>
            <w:right w:val="none" w:sz="0" w:space="0" w:color="auto"/>
          </w:divBdr>
          <w:divsChild>
            <w:div w:id="718945038">
              <w:marLeft w:val="0"/>
              <w:marRight w:val="0"/>
              <w:marTop w:val="0"/>
              <w:marBottom w:val="0"/>
              <w:divBdr>
                <w:top w:val="none" w:sz="0" w:space="0" w:color="auto"/>
                <w:left w:val="none" w:sz="0" w:space="0" w:color="auto"/>
                <w:bottom w:val="none" w:sz="0" w:space="0" w:color="auto"/>
                <w:right w:val="none" w:sz="0" w:space="0" w:color="auto"/>
              </w:divBdr>
              <w:divsChild>
                <w:div w:id="504366682">
                  <w:marLeft w:val="0"/>
                  <w:marRight w:val="0"/>
                  <w:marTop w:val="0"/>
                  <w:marBottom w:val="0"/>
                  <w:divBdr>
                    <w:top w:val="none" w:sz="0" w:space="0" w:color="auto"/>
                    <w:left w:val="none" w:sz="0" w:space="0" w:color="auto"/>
                    <w:bottom w:val="none" w:sz="0" w:space="0" w:color="auto"/>
                    <w:right w:val="none" w:sz="0" w:space="0" w:color="auto"/>
                  </w:divBdr>
                  <w:divsChild>
                    <w:div w:id="189491922">
                      <w:marLeft w:val="0"/>
                      <w:marRight w:val="0"/>
                      <w:marTop w:val="0"/>
                      <w:marBottom w:val="0"/>
                      <w:divBdr>
                        <w:top w:val="none" w:sz="0" w:space="0" w:color="auto"/>
                        <w:left w:val="none" w:sz="0" w:space="0" w:color="auto"/>
                        <w:bottom w:val="none" w:sz="0" w:space="0" w:color="auto"/>
                        <w:right w:val="none" w:sz="0" w:space="0" w:color="auto"/>
                      </w:divBdr>
                      <w:divsChild>
                        <w:div w:id="1057046843">
                          <w:marLeft w:val="0"/>
                          <w:marRight w:val="0"/>
                          <w:marTop w:val="0"/>
                          <w:marBottom w:val="0"/>
                          <w:divBdr>
                            <w:top w:val="none" w:sz="0" w:space="0" w:color="auto"/>
                            <w:left w:val="none" w:sz="0" w:space="0" w:color="auto"/>
                            <w:bottom w:val="none" w:sz="0" w:space="0" w:color="auto"/>
                            <w:right w:val="none" w:sz="0" w:space="0" w:color="auto"/>
                          </w:divBdr>
                          <w:divsChild>
                            <w:div w:id="120535162">
                              <w:marLeft w:val="0"/>
                              <w:marRight w:val="0"/>
                              <w:marTop w:val="0"/>
                              <w:marBottom w:val="0"/>
                              <w:divBdr>
                                <w:top w:val="none" w:sz="0" w:space="0" w:color="auto"/>
                                <w:left w:val="none" w:sz="0" w:space="0" w:color="auto"/>
                                <w:bottom w:val="none" w:sz="0" w:space="0" w:color="auto"/>
                                <w:right w:val="none" w:sz="0" w:space="0" w:color="auto"/>
                              </w:divBdr>
                              <w:divsChild>
                                <w:div w:id="1755318660">
                                  <w:marLeft w:val="0"/>
                                  <w:marRight w:val="0"/>
                                  <w:marTop w:val="0"/>
                                  <w:marBottom w:val="0"/>
                                  <w:divBdr>
                                    <w:top w:val="none" w:sz="0" w:space="0" w:color="auto"/>
                                    <w:left w:val="none" w:sz="0" w:space="0" w:color="auto"/>
                                    <w:bottom w:val="none" w:sz="0" w:space="0" w:color="auto"/>
                                    <w:right w:val="none" w:sz="0" w:space="0" w:color="auto"/>
                                  </w:divBdr>
                                  <w:divsChild>
                                    <w:div w:id="1830630276">
                                      <w:marLeft w:val="0"/>
                                      <w:marRight w:val="0"/>
                                      <w:marTop w:val="0"/>
                                      <w:marBottom w:val="0"/>
                                      <w:divBdr>
                                        <w:top w:val="none" w:sz="0" w:space="0" w:color="auto"/>
                                        <w:left w:val="none" w:sz="0" w:space="0" w:color="auto"/>
                                        <w:bottom w:val="none" w:sz="0" w:space="0" w:color="auto"/>
                                        <w:right w:val="none" w:sz="0" w:space="0" w:color="auto"/>
                                      </w:divBdr>
                                      <w:divsChild>
                                        <w:div w:id="1617250168">
                                          <w:marLeft w:val="0"/>
                                          <w:marRight w:val="0"/>
                                          <w:marTop w:val="0"/>
                                          <w:marBottom w:val="0"/>
                                          <w:divBdr>
                                            <w:top w:val="none" w:sz="0" w:space="0" w:color="auto"/>
                                            <w:left w:val="none" w:sz="0" w:space="0" w:color="auto"/>
                                            <w:bottom w:val="none" w:sz="0" w:space="0" w:color="auto"/>
                                            <w:right w:val="none" w:sz="0" w:space="0" w:color="auto"/>
                                          </w:divBdr>
                                          <w:divsChild>
                                            <w:div w:id="324935221">
                                              <w:marLeft w:val="0"/>
                                              <w:marRight w:val="0"/>
                                              <w:marTop w:val="0"/>
                                              <w:marBottom w:val="0"/>
                                              <w:divBdr>
                                                <w:top w:val="none" w:sz="0" w:space="0" w:color="auto"/>
                                                <w:left w:val="none" w:sz="0" w:space="0" w:color="auto"/>
                                                <w:bottom w:val="none" w:sz="0" w:space="0" w:color="auto"/>
                                                <w:right w:val="none" w:sz="0" w:space="0" w:color="auto"/>
                                              </w:divBdr>
                                              <w:divsChild>
                                                <w:div w:id="1758820054">
                                                  <w:marLeft w:val="0"/>
                                                  <w:marRight w:val="0"/>
                                                  <w:marTop w:val="0"/>
                                                  <w:marBottom w:val="0"/>
                                                  <w:divBdr>
                                                    <w:top w:val="none" w:sz="0" w:space="0" w:color="auto"/>
                                                    <w:left w:val="none" w:sz="0" w:space="0" w:color="auto"/>
                                                    <w:bottom w:val="none" w:sz="0" w:space="0" w:color="auto"/>
                                                    <w:right w:val="none" w:sz="0" w:space="0" w:color="auto"/>
                                                  </w:divBdr>
                                                  <w:divsChild>
                                                    <w:div w:id="2083722351">
                                                      <w:marLeft w:val="0"/>
                                                      <w:marRight w:val="0"/>
                                                      <w:marTop w:val="0"/>
                                                      <w:marBottom w:val="0"/>
                                                      <w:divBdr>
                                                        <w:top w:val="none" w:sz="0" w:space="0" w:color="auto"/>
                                                        <w:left w:val="none" w:sz="0" w:space="0" w:color="auto"/>
                                                        <w:bottom w:val="none" w:sz="0" w:space="0" w:color="auto"/>
                                                        <w:right w:val="none" w:sz="0" w:space="0" w:color="auto"/>
                                                      </w:divBdr>
                                                      <w:divsChild>
                                                        <w:div w:id="177013513">
                                                          <w:marLeft w:val="0"/>
                                                          <w:marRight w:val="0"/>
                                                          <w:marTop w:val="0"/>
                                                          <w:marBottom w:val="0"/>
                                                          <w:divBdr>
                                                            <w:top w:val="none" w:sz="0" w:space="0" w:color="auto"/>
                                                            <w:left w:val="none" w:sz="0" w:space="0" w:color="auto"/>
                                                            <w:bottom w:val="none" w:sz="0" w:space="0" w:color="auto"/>
                                                            <w:right w:val="none" w:sz="0" w:space="0" w:color="auto"/>
                                                          </w:divBdr>
                                                          <w:divsChild>
                                                            <w:div w:id="740566099">
                                                              <w:marLeft w:val="0"/>
                                                              <w:marRight w:val="0"/>
                                                              <w:marTop w:val="0"/>
                                                              <w:marBottom w:val="0"/>
                                                              <w:divBdr>
                                                                <w:top w:val="none" w:sz="0" w:space="0" w:color="auto"/>
                                                                <w:left w:val="none" w:sz="0" w:space="0" w:color="auto"/>
                                                                <w:bottom w:val="none" w:sz="0" w:space="0" w:color="auto"/>
                                                                <w:right w:val="none" w:sz="0" w:space="0" w:color="auto"/>
                                                              </w:divBdr>
                                                              <w:divsChild>
                                                                <w:div w:id="542206067">
                                                                  <w:marLeft w:val="0"/>
                                                                  <w:marRight w:val="0"/>
                                                                  <w:marTop w:val="0"/>
                                                                  <w:marBottom w:val="0"/>
                                                                  <w:divBdr>
                                                                    <w:top w:val="none" w:sz="0" w:space="0" w:color="auto"/>
                                                                    <w:left w:val="none" w:sz="0" w:space="0" w:color="auto"/>
                                                                    <w:bottom w:val="none" w:sz="0" w:space="0" w:color="auto"/>
                                                                    <w:right w:val="none" w:sz="0" w:space="0" w:color="auto"/>
                                                                  </w:divBdr>
                                                                </w:div>
                                                              </w:divsChild>
                                                            </w:div>
                                                            <w:div w:id="1353990002">
                                                              <w:marLeft w:val="0"/>
                                                              <w:marRight w:val="0"/>
                                                              <w:marTop w:val="0"/>
                                                              <w:marBottom w:val="0"/>
                                                              <w:divBdr>
                                                                <w:top w:val="none" w:sz="0" w:space="0" w:color="auto"/>
                                                                <w:left w:val="none" w:sz="0" w:space="0" w:color="auto"/>
                                                                <w:bottom w:val="none" w:sz="0" w:space="0" w:color="auto"/>
                                                                <w:right w:val="none" w:sz="0" w:space="0" w:color="auto"/>
                                                              </w:divBdr>
                                                              <w:divsChild>
                                                                <w:div w:id="354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181">
                                                          <w:marLeft w:val="0"/>
                                                          <w:marRight w:val="0"/>
                                                          <w:marTop w:val="0"/>
                                                          <w:marBottom w:val="0"/>
                                                          <w:divBdr>
                                                            <w:top w:val="none" w:sz="0" w:space="0" w:color="auto"/>
                                                            <w:left w:val="none" w:sz="0" w:space="0" w:color="auto"/>
                                                            <w:bottom w:val="none" w:sz="0" w:space="0" w:color="auto"/>
                                                            <w:right w:val="none" w:sz="0" w:space="0" w:color="auto"/>
                                                          </w:divBdr>
                                                          <w:divsChild>
                                                            <w:div w:id="17293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cedef/droit-des-marches-publics" TargetMode="External"/><Relationship Id="rId13" Type="http://schemas.openxmlformats.org/officeDocument/2006/relationships/hyperlink" Target="https://www.legifrance.gouv.fr/affichTexte.do?cidTexte=JORFTEXT000034160223&amp;dateTexte=&amp;categorieLien=id" TargetMode="External"/><Relationship Id="rId18" Type="http://schemas.openxmlformats.org/officeDocument/2006/relationships/hyperlink" Target="http://www.dalloz-actualite.fr/flash/responsabilite-du-fait-des-produits-defectueux-champ-d-application" TargetMode="External"/><Relationship Id="rId26" Type="http://schemas.openxmlformats.org/officeDocument/2006/relationships/hyperlink" Target="https://www.legifrance.gouv.fr/affichJuriJudi.do?oldAction=rechJuriJudi&amp;idTexte=JURITEXT000033880005&amp;fastReqId=1470100042&amp;fastPos=1" TargetMode="External"/><Relationship Id="rId3" Type="http://schemas.openxmlformats.org/officeDocument/2006/relationships/settings" Target="settings.xml"/><Relationship Id="rId21" Type="http://schemas.openxmlformats.org/officeDocument/2006/relationships/hyperlink" Target="https://www.legifrance.gouv.fr/Droit-europeen/Actualite/Jurisprudence/Jurisprudence-2017" TargetMode="External"/><Relationship Id="rId7" Type="http://schemas.openxmlformats.org/officeDocument/2006/relationships/hyperlink" Target="http://www.legifrance.gouv.fr/affichTexte.do?cidTexte=JORFTEXT000030920376&amp;dateTexte=&amp;categorieLien=id" TargetMode="External"/><Relationship Id="rId12" Type="http://schemas.openxmlformats.org/officeDocument/2006/relationships/hyperlink" Target="https://www.legifrance.gouv.fr/eli/loi/2017/2/27/JUSX1607683L/jo/texte" TargetMode="External"/><Relationship Id="rId17" Type="http://schemas.openxmlformats.org/officeDocument/2006/relationships/hyperlink" Target="https://www.legifrance.gouv.fr/affichJuriJudi.do?oldAction=rechJuriJudi&amp;idTexte=JURITEXT000034214736&amp;fastReqId=1778966152&amp;fastPos=1" TargetMode="External"/><Relationship Id="rId25" Type="http://schemas.openxmlformats.org/officeDocument/2006/relationships/hyperlink" Target="https://www.legifrance.gouv.fr/affichJuriJudi.do?idTexte=JURITEXT000034040640&amp;fastReqId=1843839753&amp;fastPos=2&amp;oldAction=rechJuriJudi" TargetMode="External"/><Relationship Id="rId2" Type="http://schemas.openxmlformats.org/officeDocument/2006/relationships/styles" Target="styles.xml"/><Relationship Id="rId16" Type="http://schemas.openxmlformats.org/officeDocument/2006/relationships/hyperlink" Target="https://www.legifrance.gouv.fr/affichJuriJudi.do?oldAction=rechJuriJudi&amp;idTexte=JURITEXT000034141900&amp;fastReqId=1277608908&amp;fastPos=1" TargetMode="External"/><Relationship Id="rId20" Type="http://schemas.openxmlformats.org/officeDocument/2006/relationships/hyperlink" Target="http://www.autoritedelaconcurrence.fr/user/avisdec.php?lang=fr&amp;numero=17-D-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france.gouv.fr/eli/decret/2017/4/10/ECFM1636881D/jo/texte" TargetMode="External"/><Relationship Id="rId11" Type="http://schemas.openxmlformats.org/officeDocument/2006/relationships/hyperlink" Target="https://www.legifrance.gouv.fr/eli/loi/2017/3/20/AFSX1632341L/jo/texte" TargetMode="External"/><Relationship Id="rId24" Type="http://schemas.openxmlformats.org/officeDocument/2006/relationships/hyperlink" Target="https://www.legifrance.gouv.fr/affichJuriJudi.do?oldAction=rechJuriJudi&amp;idTexte=JURITEXT000033880431&amp;fastReqId=343861333&amp;fastPos=1" TargetMode="External"/><Relationship Id="rId5" Type="http://schemas.openxmlformats.org/officeDocument/2006/relationships/image" Target="media/image1.jpeg"/><Relationship Id="rId15" Type="http://schemas.openxmlformats.org/officeDocument/2006/relationships/hyperlink" Target="http://www.dalloz-actualite.fr/document/civ-1re-4-mai-2017-fs-pbri-n-16-17189" TargetMode="External"/><Relationship Id="rId23" Type="http://schemas.openxmlformats.org/officeDocument/2006/relationships/hyperlink" Target="https://www.legifrance.gouv.fr/affichJuriJudi.do?oldAction=rechJuriJudi&amp;idTexte=JURITEXT000034142850&amp;fastReqId=304376993&amp;fastPos=1" TargetMode="External"/><Relationship Id="rId28" Type="http://schemas.openxmlformats.org/officeDocument/2006/relationships/fontTable" Target="fontTable.xml"/><Relationship Id="rId10" Type="http://schemas.openxmlformats.org/officeDocument/2006/relationships/hyperlink" Target="https://www.legifrance.gouv.fr/affichTexte.do?cidTexte=JORFTEXT000030920376&amp;dateTexte=&amp;categorieLien=id" TargetMode="External"/><Relationship Id="rId19" Type="http://schemas.openxmlformats.org/officeDocument/2006/relationships/hyperlink" Target="https://www.legifrance.gouv.fr/affichJuriJudi.do?oldAction=rechJuriJudi&amp;idTexte=JURITEXT000033880950&amp;fastReqId=1964497502&amp;fastPos=1" TargetMode="External"/><Relationship Id="rId4" Type="http://schemas.openxmlformats.org/officeDocument/2006/relationships/webSettings" Target="webSettings.xml"/><Relationship Id="rId9" Type="http://schemas.openxmlformats.org/officeDocument/2006/relationships/hyperlink" Target="https://www.service-public.fr/professionnels-entreprises/actualites/A11566" TargetMode="External"/><Relationship Id="rId14" Type="http://schemas.openxmlformats.org/officeDocument/2006/relationships/hyperlink" Target="http://www.dalloz-actualite.fr/document/civ-1re-4-mai-2017-fs-pbri-n-16-17189" TargetMode="External"/><Relationship Id="rId22" Type="http://schemas.openxmlformats.org/officeDocument/2006/relationships/hyperlink" Target="http://curia.europa.eu/juris/document/document.jsf;jsessionid=9ea7d2dc30d515e6a822404142c4be0af5742b76dd20.e34KaxiLc3qMb40Rch0SaxyKchb0?text=&amp;docid=187641&amp;pageIndex=0&amp;doclang=FR&amp;mode=lst&amp;dir=&amp;occ=first&amp;part=1&amp;cid=286631" TargetMode="External"/><Relationship Id="rId27" Type="http://schemas.openxmlformats.org/officeDocument/2006/relationships/hyperlink" Target="https://www.legifrance.gouv.fr/affichJuriAdmin.do?oldAction=rechJuriAdmin&amp;idTexte=CETATEXT000034496340&amp;fastReqId=814054637&amp;fastPos=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16017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Utilisateur</cp:lastModifiedBy>
  <cp:revision>2</cp:revision>
  <dcterms:created xsi:type="dcterms:W3CDTF">2017-05-09T11:53:00Z</dcterms:created>
  <dcterms:modified xsi:type="dcterms:W3CDTF">2017-05-09T11:53:00Z</dcterms:modified>
</cp:coreProperties>
</file>