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556F0" w14:textId="61DC96C9" w:rsidR="00133C55" w:rsidRDefault="00133C55" w:rsidP="00133C55">
      <w:pPr>
        <w:pStyle w:val="NormalWeb"/>
        <w:rPr>
          <w:rFonts w:ascii="Arial" w:hAnsi="Arial" w:cs="Arial"/>
          <w:b/>
        </w:rPr>
      </w:pPr>
      <w:bookmarkStart w:id="0" w:name="_GoBack"/>
      <w:bookmarkEnd w:id="0"/>
      <w:r>
        <w:rPr>
          <w:noProof/>
        </w:rPr>
        <w:drawing>
          <wp:inline distT="0" distB="0" distL="0" distR="0" wp14:anchorId="2BC27B3C" wp14:editId="5EFE6E5C">
            <wp:extent cx="1197922" cy="670560"/>
            <wp:effectExtent l="0" t="0" r="2540" b="0"/>
            <wp:docPr id="2" name="Image 2"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8498" cy="670883"/>
                    </a:xfrm>
                    <a:prstGeom prst="rect">
                      <a:avLst/>
                    </a:prstGeom>
                    <a:noFill/>
                    <a:ln>
                      <a:noFill/>
                    </a:ln>
                  </pic:spPr>
                </pic:pic>
              </a:graphicData>
            </a:graphic>
          </wp:inline>
        </w:drawing>
      </w:r>
      <w:r>
        <w:rPr>
          <w:rFonts w:ascii="Arial" w:hAnsi="Arial" w:cs="Arial"/>
          <w:b/>
          <w:sz w:val="36"/>
          <w:szCs w:val="36"/>
        </w:rPr>
        <w:tab/>
      </w:r>
      <w:r>
        <w:rPr>
          <w:rFonts w:ascii="Arial" w:hAnsi="Arial" w:cs="Arial"/>
          <w:b/>
          <w:sz w:val="36"/>
          <w:szCs w:val="36"/>
        </w:rPr>
        <w:tab/>
      </w:r>
      <w:r w:rsidRPr="000706AF">
        <w:rPr>
          <w:rFonts w:ascii="Arial" w:hAnsi="Arial" w:cs="Arial"/>
          <w:b/>
          <w:sz w:val="36"/>
          <w:szCs w:val="36"/>
        </w:rPr>
        <w:t>Éléments d’actualité juridique</w:t>
      </w:r>
      <w:r>
        <w:rPr>
          <w:rFonts w:ascii="Arial" w:hAnsi="Arial" w:cs="Arial"/>
          <w:b/>
          <w:sz w:val="36"/>
          <w:szCs w:val="36"/>
        </w:rPr>
        <w:t xml:space="preserve"> - 4</w:t>
      </w:r>
      <w:r>
        <w:rPr>
          <w:rFonts w:ascii="Arial" w:hAnsi="Arial" w:cs="Arial"/>
          <w:b/>
        </w:rPr>
        <w:tab/>
      </w:r>
    </w:p>
    <w:p w14:paraId="53B50FB3" w14:textId="09574D59" w:rsidR="00133C55" w:rsidRDefault="008D5FDD" w:rsidP="00133C55">
      <w:pPr>
        <w:pStyle w:val="NormalWeb"/>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t>
      </w:r>
      <w:proofErr w:type="gramStart"/>
      <w:r>
        <w:rPr>
          <w:rFonts w:ascii="Arial" w:hAnsi="Arial" w:cs="Arial"/>
          <w:b/>
        </w:rPr>
        <w:t>mise</w:t>
      </w:r>
      <w:proofErr w:type="gramEnd"/>
      <w:r>
        <w:rPr>
          <w:rFonts w:ascii="Arial" w:hAnsi="Arial" w:cs="Arial"/>
          <w:b/>
        </w:rPr>
        <w:t xml:space="preserve"> à jour au 31</w:t>
      </w:r>
      <w:r w:rsidR="00133C55">
        <w:rPr>
          <w:rFonts w:ascii="Arial" w:hAnsi="Arial" w:cs="Arial"/>
          <w:b/>
        </w:rPr>
        <w:t xml:space="preserve"> août 2017)</w:t>
      </w:r>
    </w:p>
    <w:p w14:paraId="6428300D" w14:textId="77777777" w:rsidR="00133C55" w:rsidRPr="00602E67" w:rsidRDefault="00133C55" w:rsidP="00F2135F">
      <w:pPr>
        <w:jc w:val="both"/>
        <w:rPr>
          <w:rFonts w:ascii="Arial" w:hAnsi="Arial" w:cs="Arial"/>
        </w:rPr>
      </w:pPr>
      <w:r w:rsidRPr="00602E67">
        <w:rPr>
          <w:rFonts w:ascii="Arial" w:hAnsi="Arial" w:cs="Arial"/>
        </w:rPr>
        <w:t>La rubrique ne vise aucunement l’exhaustivité, mais a pour but d’attirer votre attention sur quelques points importants d’évolution du droit portant sur les programmes étudiés en STMG, BTS tertiaires et DGEMC.</w:t>
      </w:r>
    </w:p>
    <w:p w14:paraId="3AF91D10" w14:textId="77777777" w:rsidR="00133C55" w:rsidRDefault="00133C55" w:rsidP="00F2135F">
      <w:pPr>
        <w:jc w:val="both"/>
        <w:rPr>
          <w:rFonts w:ascii="Arial" w:hAnsi="Arial" w:cs="Arial"/>
        </w:rPr>
      </w:pPr>
    </w:p>
    <w:p w14:paraId="3EFBE18B" w14:textId="77777777" w:rsidR="00133C55" w:rsidRDefault="00133C55" w:rsidP="00F2135F">
      <w:pPr>
        <w:pStyle w:val="NormalWeb"/>
        <w:numPr>
          <w:ilvl w:val="0"/>
          <w:numId w:val="4"/>
        </w:numPr>
        <w:jc w:val="both"/>
        <w:rPr>
          <w:rFonts w:ascii="Arial" w:hAnsi="Arial" w:cs="Arial"/>
          <w:b/>
          <w:color w:val="0070C0"/>
          <w:sz w:val="28"/>
          <w:szCs w:val="28"/>
        </w:rPr>
      </w:pPr>
      <w:r w:rsidRPr="000706AF">
        <w:rPr>
          <w:rFonts w:ascii="Arial" w:hAnsi="Arial" w:cs="Arial"/>
          <w:b/>
          <w:color w:val="0070C0"/>
          <w:sz w:val="28"/>
          <w:szCs w:val="28"/>
        </w:rPr>
        <w:t xml:space="preserve">Évolutions législatives </w:t>
      </w:r>
    </w:p>
    <w:p w14:paraId="7913165B" w14:textId="77777777" w:rsidR="00F8550B" w:rsidRPr="00657FE2" w:rsidRDefault="00F8550B" w:rsidP="00F8550B">
      <w:pPr>
        <w:pStyle w:val="Sansinterligne"/>
        <w:jc w:val="both"/>
        <w:rPr>
          <w:rFonts w:ascii="Arial" w:hAnsi="Arial" w:cs="Arial"/>
          <w:color w:val="FF0000"/>
          <w:sz w:val="20"/>
          <w:szCs w:val="20"/>
          <w:u w:val="single"/>
        </w:rPr>
      </w:pPr>
      <w:r w:rsidRPr="00657FE2">
        <w:rPr>
          <w:rFonts w:ascii="Arial" w:hAnsi="Arial" w:cs="Arial"/>
          <w:color w:val="FF0000"/>
          <w:sz w:val="20"/>
          <w:szCs w:val="20"/>
          <w:u w:val="single"/>
        </w:rPr>
        <w:t xml:space="preserve">Points de programme concerné : </w:t>
      </w:r>
    </w:p>
    <w:p w14:paraId="0B24E1B6" w14:textId="4ADD3345" w:rsidR="00133C55" w:rsidRPr="00BC3661" w:rsidRDefault="00F8550B" w:rsidP="00F23EF3">
      <w:pPr>
        <w:pStyle w:val="Sansinterligne"/>
        <w:jc w:val="both"/>
        <w:rPr>
          <w:rFonts w:ascii="Arial" w:hAnsi="Arial" w:cs="Arial"/>
          <w:color w:val="FF0000"/>
          <w:sz w:val="20"/>
          <w:szCs w:val="20"/>
        </w:rPr>
      </w:pPr>
      <w:r w:rsidRPr="00BC3661">
        <w:rPr>
          <w:rFonts w:ascii="Arial" w:hAnsi="Arial" w:cs="Arial"/>
          <w:color w:val="FF0000"/>
          <w:sz w:val="20"/>
          <w:szCs w:val="20"/>
        </w:rPr>
        <w:t>Première STMG – Thème 2. Comment le droit permet-il de régler un litige ? Le recours au juge.</w:t>
      </w:r>
    </w:p>
    <w:p w14:paraId="6E5CAE6B" w14:textId="6484DEDE" w:rsidR="004C4C19" w:rsidRPr="00BC3661" w:rsidRDefault="004C4C19" w:rsidP="00F23EF3">
      <w:pPr>
        <w:pStyle w:val="Sansinterligne"/>
        <w:jc w:val="both"/>
        <w:rPr>
          <w:rFonts w:ascii="Arial" w:hAnsi="Arial" w:cs="Arial"/>
          <w:color w:val="FF0000"/>
          <w:sz w:val="20"/>
          <w:szCs w:val="20"/>
        </w:rPr>
      </w:pPr>
      <w:r w:rsidRPr="00BC3661">
        <w:rPr>
          <w:rFonts w:ascii="Arial" w:hAnsi="Arial" w:cs="Arial"/>
          <w:color w:val="FF0000"/>
          <w:sz w:val="20"/>
          <w:szCs w:val="20"/>
        </w:rPr>
        <w:t>DGEMC -  Thème 2.2 Le justiciable ; thème 3.1 : l’organisation juridictionnelle de la France</w:t>
      </w:r>
    </w:p>
    <w:p w14:paraId="5866CCF4" w14:textId="77777777" w:rsidR="004C4C19" w:rsidRDefault="004C4C19" w:rsidP="00F2135F">
      <w:pPr>
        <w:jc w:val="both"/>
        <w:rPr>
          <w:rFonts w:ascii="Arial" w:hAnsi="Arial" w:cs="Arial"/>
          <w:b/>
        </w:rPr>
      </w:pPr>
    </w:p>
    <w:p w14:paraId="37288A1A" w14:textId="59DDE60B" w:rsidR="00133C55" w:rsidRPr="00602E67" w:rsidRDefault="00133C55" w:rsidP="00F2135F">
      <w:pPr>
        <w:jc w:val="both"/>
        <w:rPr>
          <w:rFonts w:ascii="Arial" w:hAnsi="Arial" w:cs="Arial"/>
          <w:b/>
        </w:rPr>
      </w:pPr>
      <w:r w:rsidRPr="00602E67">
        <w:rPr>
          <w:rFonts w:ascii="Arial" w:hAnsi="Arial" w:cs="Arial"/>
          <w:b/>
        </w:rPr>
        <w:t>La loi de modernisation de la justice (</w:t>
      </w:r>
      <w:r w:rsidR="00041F19" w:rsidRPr="00602E67">
        <w:rPr>
          <w:rFonts w:ascii="Arial" w:hAnsi="Arial" w:cs="Arial"/>
          <w:b/>
        </w:rPr>
        <w:t>LOI n</w:t>
      </w:r>
      <w:r w:rsidR="0031776B" w:rsidRPr="00602E67">
        <w:rPr>
          <w:rFonts w:ascii="Arial" w:hAnsi="Arial" w:cs="Arial"/>
          <w:b/>
        </w:rPr>
        <w:t>° 2016-1547 du 18 novembre 2016</w:t>
      </w:r>
      <w:r w:rsidR="00041F19" w:rsidRPr="00602E67">
        <w:rPr>
          <w:rFonts w:ascii="Arial" w:hAnsi="Arial" w:cs="Arial"/>
          <w:b/>
        </w:rPr>
        <w:t>) a l'ambition de rendre la justice plus efficace, plus simple, plus accessible et plus indépendante.</w:t>
      </w:r>
    </w:p>
    <w:p w14:paraId="1CB0FC8D" w14:textId="4CD56F02" w:rsidR="00133C55" w:rsidRPr="00602E67" w:rsidRDefault="00C34D7D" w:rsidP="00F2135F">
      <w:pPr>
        <w:jc w:val="both"/>
        <w:rPr>
          <w:rFonts w:ascii="Arial" w:hAnsi="Arial" w:cs="Arial"/>
          <w:i/>
        </w:rPr>
      </w:pPr>
      <w:hyperlink r:id="rId7" w:history="1">
        <w:r w:rsidR="00041F19" w:rsidRPr="00602E67">
          <w:rPr>
            <w:rFonts w:ascii="Arial" w:hAnsi="Arial" w:cs="Arial"/>
            <w:i/>
          </w:rPr>
          <w:t>https://www.legifrance.gouv.fr/eli/loi/2016/11/18/JUSX1515639L/jo</w:t>
        </w:r>
      </w:hyperlink>
    </w:p>
    <w:p w14:paraId="60085F28" w14:textId="77777777" w:rsidR="00133C55" w:rsidRPr="00602E67" w:rsidRDefault="00133C55" w:rsidP="00F2135F">
      <w:pPr>
        <w:jc w:val="both"/>
        <w:rPr>
          <w:rFonts w:ascii="Arial" w:hAnsi="Arial" w:cs="Arial"/>
        </w:rPr>
      </w:pPr>
    </w:p>
    <w:p w14:paraId="2B000DC2" w14:textId="77777777" w:rsidR="00041F19" w:rsidRPr="00602E67" w:rsidRDefault="00041F19" w:rsidP="00F2135F">
      <w:pPr>
        <w:jc w:val="both"/>
        <w:rPr>
          <w:rFonts w:ascii="Arial" w:hAnsi="Arial" w:cs="Arial"/>
        </w:rPr>
      </w:pPr>
    </w:p>
    <w:p w14:paraId="305E18DA" w14:textId="4838DEA9" w:rsidR="00B954B7" w:rsidRPr="00602E67" w:rsidRDefault="00041F19" w:rsidP="00F2135F">
      <w:pPr>
        <w:pStyle w:val="Paragraphedeliste"/>
        <w:numPr>
          <w:ilvl w:val="0"/>
          <w:numId w:val="7"/>
        </w:numPr>
        <w:jc w:val="both"/>
        <w:rPr>
          <w:rFonts w:ascii="Arial" w:hAnsi="Arial" w:cs="Arial"/>
        </w:rPr>
      </w:pPr>
      <w:r w:rsidRPr="00602E67">
        <w:rPr>
          <w:rFonts w:ascii="Arial" w:hAnsi="Arial" w:cs="Arial"/>
          <w:b/>
        </w:rPr>
        <w:t>Depuis le 1er mai</w:t>
      </w:r>
      <w:r w:rsidR="00342204" w:rsidRPr="00602E67">
        <w:rPr>
          <w:rFonts w:ascii="Arial" w:hAnsi="Arial" w:cs="Arial"/>
          <w:b/>
        </w:rPr>
        <w:t> </w:t>
      </w:r>
      <w:r w:rsidR="0031776B" w:rsidRPr="00602E67">
        <w:rPr>
          <w:rFonts w:ascii="Arial" w:hAnsi="Arial" w:cs="Arial"/>
          <w:b/>
        </w:rPr>
        <w:t xml:space="preserve">2017 </w:t>
      </w:r>
      <w:r w:rsidR="00342204" w:rsidRPr="00602E67">
        <w:rPr>
          <w:rFonts w:ascii="Arial" w:hAnsi="Arial" w:cs="Arial"/>
        </w:rPr>
        <w:t xml:space="preserve">: compétence </w:t>
      </w:r>
      <w:r w:rsidR="00F2135F" w:rsidRPr="00602E67">
        <w:rPr>
          <w:rFonts w:ascii="Arial" w:hAnsi="Arial" w:cs="Arial"/>
        </w:rPr>
        <w:t xml:space="preserve">du </w:t>
      </w:r>
      <w:r w:rsidR="00342204" w:rsidRPr="00602E67">
        <w:rPr>
          <w:rFonts w:ascii="Arial" w:hAnsi="Arial" w:cs="Arial"/>
        </w:rPr>
        <w:t xml:space="preserve">TGI pour </w:t>
      </w:r>
      <w:r w:rsidR="00CC1FAB" w:rsidRPr="00602E67">
        <w:rPr>
          <w:rFonts w:ascii="Arial" w:hAnsi="Arial" w:cs="Arial"/>
        </w:rPr>
        <w:t xml:space="preserve">la </w:t>
      </w:r>
      <w:r w:rsidR="00342204" w:rsidRPr="00602E67">
        <w:rPr>
          <w:rFonts w:ascii="Arial" w:hAnsi="Arial" w:cs="Arial"/>
        </w:rPr>
        <w:t>réparation des dommages corporels</w:t>
      </w:r>
      <w:r w:rsidR="00CC1FAB" w:rsidRPr="00602E67">
        <w:rPr>
          <w:rFonts w:ascii="Arial" w:hAnsi="Arial" w:cs="Arial"/>
        </w:rPr>
        <w:t xml:space="preserve">. </w:t>
      </w:r>
      <w:r w:rsidR="00133C55" w:rsidRPr="00602E67">
        <w:rPr>
          <w:rFonts w:ascii="Arial" w:hAnsi="Arial" w:cs="Arial"/>
        </w:rPr>
        <w:t>S</w:t>
      </w:r>
      <w:r w:rsidR="00B954B7" w:rsidRPr="00602E67">
        <w:rPr>
          <w:rFonts w:ascii="Arial" w:hAnsi="Arial" w:cs="Arial"/>
        </w:rPr>
        <w:t>elon l'</w:t>
      </w:r>
      <w:hyperlink r:id="rId8" w:tgtFrame="_blank" w:history="1">
        <w:r w:rsidR="00B954B7" w:rsidRPr="00602E67">
          <w:rPr>
            <w:rFonts w:ascii="Arial" w:hAnsi="Arial" w:cs="Arial"/>
          </w:rPr>
          <w:t>article L211-4-1 du Code de l'organisation judiciaire</w:t>
        </w:r>
      </w:hyperlink>
      <w:r w:rsidR="007343A8" w:rsidRPr="00602E67">
        <w:rPr>
          <w:rFonts w:ascii="Arial" w:hAnsi="Arial" w:cs="Arial"/>
        </w:rPr>
        <w:t>, le tribunal de grande instance</w:t>
      </w:r>
      <w:r w:rsidR="00B954B7" w:rsidRPr="00602E67">
        <w:rPr>
          <w:rFonts w:ascii="Arial" w:hAnsi="Arial" w:cs="Arial"/>
        </w:rPr>
        <w:t xml:space="preserve"> traite </w:t>
      </w:r>
      <w:r w:rsidR="00133C55" w:rsidRPr="00602E67">
        <w:rPr>
          <w:rFonts w:ascii="Arial" w:hAnsi="Arial" w:cs="Arial"/>
        </w:rPr>
        <w:t>désormais de toutes les litiges concernant la</w:t>
      </w:r>
      <w:r w:rsidR="00B954B7" w:rsidRPr="00602E67">
        <w:rPr>
          <w:rFonts w:ascii="Arial" w:hAnsi="Arial" w:cs="Arial"/>
        </w:rPr>
        <w:t xml:space="preserve"> réparation des dommages corporels (quelque soit le montant).</w:t>
      </w:r>
    </w:p>
    <w:p w14:paraId="1EDABAB1" w14:textId="77777777" w:rsidR="00F2135F" w:rsidRPr="00F2135F" w:rsidRDefault="00F2135F" w:rsidP="00F2135F">
      <w:pPr>
        <w:pStyle w:val="Paragraphedeliste"/>
        <w:jc w:val="both"/>
        <w:rPr>
          <w:rFonts w:ascii="Arial" w:hAnsi="Arial" w:cs="Arial"/>
        </w:rPr>
      </w:pPr>
    </w:p>
    <w:p w14:paraId="24EC2C54" w14:textId="77777777" w:rsidR="00041F19" w:rsidRPr="00F2135F" w:rsidRDefault="00041F19" w:rsidP="00F2135F">
      <w:pPr>
        <w:jc w:val="both"/>
        <w:rPr>
          <w:rFonts w:ascii="Arial" w:hAnsi="Arial" w:cs="Arial"/>
        </w:rPr>
      </w:pPr>
    </w:p>
    <w:p w14:paraId="136D50C9" w14:textId="5FC970E2" w:rsidR="00041F19" w:rsidRPr="00F2135F" w:rsidRDefault="00041F19" w:rsidP="00F2135F">
      <w:pPr>
        <w:pStyle w:val="Paragraphedeliste"/>
        <w:numPr>
          <w:ilvl w:val="0"/>
          <w:numId w:val="7"/>
        </w:numPr>
        <w:jc w:val="both"/>
        <w:rPr>
          <w:rFonts w:ascii="Arial" w:hAnsi="Arial" w:cs="Arial"/>
        </w:rPr>
      </w:pPr>
      <w:r w:rsidRPr="00F2135F">
        <w:rPr>
          <w:rFonts w:ascii="Arial" w:hAnsi="Arial" w:cs="Arial"/>
          <w:b/>
        </w:rPr>
        <w:t>Depuis le 1er juillet</w:t>
      </w:r>
      <w:r w:rsidRPr="00F2135F">
        <w:rPr>
          <w:rFonts w:ascii="Arial" w:hAnsi="Arial" w:cs="Arial"/>
        </w:rPr>
        <w:t xml:space="preserve"> </w:t>
      </w:r>
      <w:r w:rsidR="0031776B" w:rsidRPr="00F2135F">
        <w:rPr>
          <w:rFonts w:ascii="Arial" w:hAnsi="Arial" w:cs="Arial"/>
          <w:b/>
        </w:rPr>
        <w:t>2017</w:t>
      </w:r>
      <w:r w:rsidR="0031776B" w:rsidRPr="00F2135F">
        <w:rPr>
          <w:rFonts w:ascii="Arial" w:hAnsi="Arial" w:cs="Arial"/>
        </w:rPr>
        <w:t xml:space="preserve"> </w:t>
      </w:r>
    </w:p>
    <w:p w14:paraId="08BA5540" w14:textId="77777777" w:rsidR="00342204" w:rsidRPr="00F2135F" w:rsidRDefault="00342204" w:rsidP="00F2135F">
      <w:pPr>
        <w:jc w:val="both"/>
        <w:rPr>
          <w:rFonts w:ascii="Arial" w:hAnsi="Arial" w:cs="Arial"/>
        </w:rPr>
      </w:pPr>
    </w:p>
    <w:p w14:paraId="191A553D" w14:textId="30CF0D63" w:rsidR="007343A8" w:rsidRPr="00602E67" w:rsidRDefault="0031776B" w:rsidP="00F2135F">
      <w:pPr>
        <w:jc w:val="both"/>
        <w:rPr>
          <w:rFonts w:ascii="Arial" w:hAnsi="Arial" w:cs="Arial"/>
          <w:b/>
        </w:rPr>
      </w:pPr>
      <w:r w:rsidRPr="00602E67">
        <w:rPr>
          <w:rFonts w:ascii="Arial" w:hAnsi="Arial" w:cs="Arial"/>
          <w:b/>
        </w:rPr>
        <w:t xml:space="preserve">* </w:t>
      </w:r>
      <w:r w:rsidR="007343A8" w:rsidRPr="00602E67">
        <w:rPr>
          <w:rFonts w:ascii="Arial" w:hAnsi="Arial" w:cs="Arial"/>
          <w:b/>
        </w:rPr>
        <w:t>La suppression de la juridiction de proximité</w:t>
      </w:r>
    </w:p>
    <w:p w14:paraId="5880D151" w14:textId="518726A5" w:rsidR="007343A8" w:rsidRPr="00602E67" w:rsidRDefault="007343A8" w:rsidP="00F2135F">
      <w:pPr>
        <w:jc w:val="both"/>
        <w:rPr>
          <w:rFonts w:ascii="Arial" w:hAnsi="Arial" w:cs="Arial"/>
        </w:rPr>
      </w:pPr>
      <w:r w:rsidRPr="00602E67">
        <w:rPr>
          <w:rFonts w:ascii="Arial" w:hAnsi="Arial" w:cs="Arial"/>
        </w:rPr>
        <w:t>Après plusieurs reports successifs, la suppression des juridictions de proximité a eu lieu au 1</w:t>
      </w:r>
      <w:r w:rsidRPr="00602E67">
        <w:rPr>
          <w:rFonts w:ascii="Arial" w:hAnsi="Arial" w:cs="Arial"/>
          <w:vertAlign w:val="superscript"/>
        </w:rPr>
        <w:t>er</w:t>
      </w:r>
      <w:r w:rsidRPr="00602E67">
        <w:rPr>
          <w:rFonts w:ascii="Arial" w:hAnsi="Arial" w:cs="Arial"/>
        </w:rPr>
        <w:t xml:space="preserve"> juillet 2017</w:t>
      </w:r>
      <w:r w:rsidR="00F2135F" w:rsidRPr="00602E67">
        <w:rPr>
          <w:rFonts w:ascii="Arial" w:hAnsi="Arial" w:cs="Arial"/>
        </w:rPr>
        <w:t xml:space="preserve"> </w:t>
      </w:r>
      <w:r w:rsidRPr="00602E67">
        <w:rPr>
          <w:rFonts w:ascii="Arial" w:hAnsi="Arial" w:cs="Arial"/>
        </w:rPr>
        <w:t>(suite à la publication de la loi sur la</w:t>
      </w:r>
      <w:r w:rsidR="00F2135F" w:rsidRPr="00602E67">
        <w:rPr>
          <w:rFonts w:ascii="Arial" w:hAnsi="Arial" w:cs="Arial"/>
        </w:rPr>
        <w:t xml:space="preserve"> modernisation de la justice du 21</w:t>
      </w:r>
      <w:r w:rsidR="00F2135F" w:rsidRPr="00602E67">
        <w:rPr>
          <w:rFonts w:ascii="Arial" w:hAnsi="Arial" w:cs="Arial"/>
          <w:vertAlign w:val="superscript"/>
        </w:rPr>
        <w:t>ème</w:t>
      </w:r>
      <w:r w:rsidR="00F2135F" w:rsidRPr="00602E67">
        <w:rPr>
          <w:rFonts w:ascii="Arial" w:hAnsi="Arial" w:cs="Arial"/>
        </w:rPr>
        <w:t xml:space="preserve"> siècle</w:t>
      </w:r>
      <w:r w:rsidRPr="00602E67">
        <w:rPr>
          <w:rFonts w:ascii="Arial" w:hAnsi="Arial" w:cs="Arial"/>
        </w:rPr>
        <w:t>). Leurs compétences sont</w:t>
      </w:r>
      <w:r w:rsidR="00CC1FAB" w:rsidRPr="00602E67">
        <w:rPr>
          <w:rFonts w:ascii="Arial" w:hAnsi="Arial" w:cs="Arial"/>
        </w:rPr>
        <w:t xml:space="preserve"> désormais</w:t>
      </w:r>
      <w:r w:rsidRPr="00602E67">
        <w:rPr>
          <w:rFonts w:ascii="Arial" w:hAnsi="Arial" w:cs="Arial"/>
        </w:rPr>
        <w:t xml:space="preserve"> confiées aux </w:t>
      </w:r>
      <w:hyperlink r:id="rId9" w:history="1">
        <w:r w:rsidRPr="00602E67">
          <w:rPr>
            <w:rFonts w:ascii="Arial" w:hAnsi="Arial" w:cs="Arial"/>
          </w:rPr>
          <w:t>tribunaux d'instance</w:t>
        </w:r>
      </w:hyperlink>
      <w:r w:rsidRPr="00602E67">
        <w:rPr>
          <w:rFonts w:ascii="Arial" w:hAnsi="Arial" w:cs="Arial"/>
        </w:rPr>
        <w:t> ou de police</w:t>
      </w:r>
      <w:r w:rsidR="00CC1FAB" w:rsidRPr="00602E67">
        <w:rPr>
          <w:rFonts w:ascii="Arial" w:hAnsi="Arial" w:cs="Arial"/>
        </w:rPr>
        <w:t xml:space="preserve"> (voir ci-dessous)</w:t>
      </w:r>
      <w:r w:rsidRPr="00602E67">
        <w:rPr>
          <w:rFonts w:ascii="Arial" w:hAnsi="Arial" w:cs="Arial"/>
        </w:rPr>
        <w:t>. </w:t>
      </w:r>
      <w:bookmarkStart w:id="1" w:name="modifications"/>
      <w:bookmarkEnd w:id="1"/>
      <w:r w:rsidR="00CC1FAB" w:rsidRPr="00602E67">
        <w:rPr>
          <w:rFonts w:ascii="Arial" w:hAnsi="Arial" w:cs="Arial"/>
        </w:rPr>
        <w:t>Depuis</w:t>
      </w:r>
      <w:r w:rsidRPr="00602E67">
        <w:rPr>
          <w:rFonts w:ascii="Arial" w:hAnsi="Arial" w:cs="Arial"/>
        </w:rPr>
        <w:t xml:space="preserve"> cette date</w:t>
      </w:r>
      <w:r w:rsidR="00CC1FAB" w:rsidRPr="00602E67">
        <w:rPr>
          <w:rFonts w:ascii="Arial" w:hAnsi="Arial" w:cs="Arial"/>
        </w:rPr>
        <w:t xml:space="preserve">, </w:t>
      </w:r>
      <w:r w:rsidRPr="00602E67">
        <w:rPr>
          <w:rFonts w:ascii="Arial" w:hAnsi="Arial" w:cs="Arial"/>
        </w:rPr>
        <w:t xml:space="preserve">les anciens juges de proximité </w:t>
      </w:r>
      <w:r w:rsidR="00CC1FAB" w:rsidRPr="00602E67">
        <w:rPr>
          <w:rFonts w:ascii="Arial" w:hAnsi="Arial" w:cs="Arial"/>
        </w:rPr>
        <w:t>deviennent</w:t>
      </w:r>
      <w:r w:rsidRPr="00602E67">
        <w:rPr>
          <w:rFonts w:ascii="Arial" w:hAnsi="Arial" w:cs="Arial"/>
        </w:rPr>
        <w:t xml:space="preserve"> magistrats à titre temporaire</w:t>
      </w:r>
      <w:r w:rsidR="00CC1FAB" w:rsidRPr="00602E67">
        <w:rPr>
          <w:rFonts w:ascii="Arial" w:hAnsi="Arial" w:cs="Arial"/>
        </w:rPr>
        <w:t>.</w:t>
      </w:r>
      <w:r w:rsidRPr="00602E67">
        <w:rPr>
          <w:rFonts w:ascii="Arial" w:hAnsi="Arial" w:cs="Arial"/>
        </w:rPr>
        <w:t xml:space="preserve"> </w:t>
      </w:r>
    </w:p>
    <w:p w14:paraId="42CE93DE" w14:textId="77777777" w:rsidR="007343A8" w:rsidRPr="00602E67" w:rsidRDefault="007343A8" w:rsidP="00F2135F">
      <w:pPr>
        <w:jc w:val="both"/>
        <w:rPr>
          <w:rFonts w:ascii="Arial" w:hAnsi="Arial" w:cs="Arial"/>
        </w:rPr>
      </w:pPr>
    </w:p>
    <w:p w14:paraId="0A0B7B87" w14:textId="77777777" w:rsidR="007343A8" w:rsidRPr="00602E67" w:rsidRDefault="007343A8" w:rsidP="00F2135F">
      <w:pPr>
        <w:jc w:val="both"/>
        <w:rPr>
          <w:rFonts w:ascii="Arial" w:hAnsi="Arial" w:cs="Arial"/>
        </w:rPr>
      </w:pPr>
    </w:p>
    <w:p w14:paraId="63C0E052" w14:textId="12415D31" w:rsidR="00706353" w:rsidRPr="00602E67" w:rsidRDefault="0031776B" w:rsidP="00F2135F">
      <w:pPr>
        <w:jc w:val="both"/>
        <w:rPr>
          <w:rFonts w:ascii="Arial" w:hAnsi="Arial" w:cs="Arial"/>
          <w:b/>
        </w:rPr>
      </w:pPr>
      <w:r w:rsidRPr="00602E67">
        <w:rPr>
          <w:rFonts w:ascii="Arial" w:hAnsi="Arial" w:cs="Arial"/>
          <w:b/>
        </w:rPr>
        <w:t xml:space="preserve">* </w:t>
      </w:r>
      <w:r w:rsidR="00706353" w:rsidRPr="00602E67">
        <w:rPr>
          <w:rFonts w:ascii="Arial" w:hAnsi="Arial" w:cs="Arial"/>
          <w:b/>
        </w:rPr>
        <w:t>La réforme du tribunal de police</w:t>
      </w:r>
    </w:p>
    <w:p w14:paraId="44F0E7A5" w14:textId="4D50A76D" w:rsidR="007343A8" w:rsidRPr="00602E67" w:rsidRDefault="007343A8" w:rsidP="00F2135F">
      <w:pPr>
        <w:jc w:val="both"/>
        <w:rPr>
          <w:rFonts w:ascii="Arial" w:hAnsi="Arial" w:cs="Arial"/>
        </w:rPr>
      </w:pPr>
      <w:r w:rsidRPr="00602E67">
        <w:rPr>
          <w:rFonts w:ascii="Arial" w:hAnsi="Arial" w:cs="Arial"/>
        </w:rPr>
        <w:t xml:space="preserve">Le tribunal de police connaît des contraventions, sous réserve de la compétence du juge des enfants.  </w:t>
      </w:r>
    </w:p>
    <w:p w14:paraId="4877C003" w14:textId="77777777" w:rsidR="007343A8" w:rsidRPr="00602E67" w:rsidRDefault="007343A8" w:rsidP="00F2135F">
      <w:pPr>
        <w:jc w:val="both"/>
        <w:rPr>
          <w:rFonts w:ascii="Arial" w:hAnsi="Arial" w:cs="Arial"/>
        </w:rPr>
      </w:pPr>
    </w:p>
    <w:p w14:paraId="796A978E" w14:textId="538D4E4A" w:rsidR="001B0BC1" w:rsidRPr="00602E67" w:rsidRDefault="00342204" w:rsidP="00F2135F">
      <w:pPr>
        <w:jc w:val="both"/>
        <w:rPr>
          <w:rFonts w:ascii="Arial" w:hAnsi="Arial" w:cs="Arial"/>
        </w:rPr>
      </w:pPr>
      <w:r w:rsidRPr="00602E67">
        <w:rPr>
          <w:rFonts w:ascii="Arial" w:hAnsi="Arial" w:cs="Arial"/>
        </w:rPr>
        <w:t>L’a</w:t>
      </w:r>
      <w:r w:rsidR="001B0BC1" w:rsidRPr="00602E67">
        <w:rPr>
          <w:rFonts w:ascii="Arial" w:hAnsi="Arial" w:cs="Arial"/>
        </w:rPr>
        <w:t>rticle 15 de la loi n° 2016-1547 du 18 novembre 2016 de modernisation de la justice</w:t>
      </w:r>
      <w:r w:rsidR="00F2135F" w:rsidRPr="00602E67">
        <w:rPr>
          <w:rFonts w:ascii="Arial" w:hAnsi="Arial" w:cs="Arial"/>
        </w:rPr>
        <w:t xml:space="preserve"> du 21</w:t>
      </w:r>
      <w:r w:rsidR="00F2135F" w:rsidRPr="00602E67">
        <w:rPr>
          <w:rFonts w:ascii="Arial" w:hAnsi="Arial" w:cs="Arial"/>
          <w:vertAlign w:val="superscript"/>
        </w:rPr>
        <w:t>ème</w:t>
      </w:r>
      <w:r w:rsidR="00F2135F" w:rsidRPr="00602E67">
        <w:rPr>
          <w:rFonts w:ascii="Arial" w:hAnsi="Arial" w:cs="Arial"/>
        </w:rPr>
        <w:t xml:space="preserve"> </w:t>
      </w:r>
      <w:r w:rsidR="007343A8" w:rsidRPr="00602E67">
        <w:rPr>
          <w:rFonts w:ascii="Arial" w:hAnsi="Arial" w:cs="Arial"/>
        </w:rPr>
        <w:t xml:space="preserve">siècle transfère </w:t>
      </w:r>
      <w:r w:rsidR="00CC1FAB" w:rsidRPr="00602E67">
        <w:rPr>
          <w:rFonts w:ascii="Arial" w:hAnsi="Arial" w:cs="Arial"/>
        </w:rPr>
        <w:t xml:space="preserve">la compétence </w:t>
      </w:r>
      <w:r w:rsidR="001B0BC1" w:rsidRPr="00602E67">
        <w:rPr>
          <w:rFonts w:ascii="Arial" w:hAnsi="Arial" w:cs="Arial"/>
        </w:rPr>
        <w:t>du t</w:t>
      </w:r>
      <w:r w:rsidR="00CC1FAB" w:rsidRPr="00602E67">
        <w:rPr>
          <w:rFonts w:ascii="Arial" w:hAnsi="Arial" w:cs="Arial"/>
        </w:rPr>
        <w:t>ribunal de police, qui relevai</w:t>
      </w:r>
      <w:r w:rsidR="001B0BC1" w:rsidRPr="00602E67">
        <w:rPr>
          <w:rFonts w:ascii="Arial" w:hAnsi="Arial" w:cs="Arial"/>
        </w:rPr>
        <w:t>t du tribunal d’instance, au tribunal de grande instance.</w:t>
      </w:r>
    </w:p>
    <w:p w14:paraId="51477DB0" w14:textId="77777777" w:rsidR="00342204" w:rsidRPr="00602E67" w:rsidRDefault="00342204" w:rsidP="00F2135F">
      <w:pPr>
        <w:jc w:val="both"/>
        <w:rPr>
          <w:rFonts w:ascii="Arial" w:hAnsi="Arial" w:cs="Arial"/>
        </w:rPr>
      </w:pPr>
    </w:p>
    <w:p w14:paraId="3CECCA33" w14:textId="77777777" w:rsidR="001B0BC1" w:rsidRPr="00602E67" w:rsidRDefault="001B0BC1" w:rsidP="00F2135F">
      <w:pPr>
        <w:jc w:val="both"/>
        <w:rPr>
          <w:rFonts w:ascii="Arial" w:hAnsi="Arial" w:cs="Arial"/>
          <w:i/>
        </w:rPr>
      </w:pPr>
      <w:r w:rsidRPr="00602E67">
        <w:rPr>
          <w:rFonts w:ascii="Arial" w:hAnsi="Arial" w:cs="Arial"/>
          <w:i/>
        </w:rPr>
        <w:t xml:space="preserve">« Lorsqu'il connaît des contraventions des quatre premières classes, à l'exception de celles déterminées par un décret en Conseil d'Etat, ainsi que des contraventions de la </w:t>
      </w:r>
      <w:r w:rsidRPr="00602E67">
        <w:rPr>
          <w:rFonts w:ascii="Arial" w:hAnsi="Arial" w:cs="Arial"/>
          <w:i/>
        </w:rPr>
        <w:lastRenderedPageBreak/>
        <w:t>cinquième classe relevant de la procédure de l'amende forfaitaire, le tribunal de police peut être constitué par un magistrat exerçant à titre temporaire. » </w:t>
      </w:r>
    </w:p>
    <w:p w14:paraId="48635AB2" w14:textId="439CBBF1" w:rsidR="005E722E" w:rsidRPr="00F2135F" w:rsidRDefault="005E722E" w:rsidP="00F2135F">
      <w:pPr>
        <w:jc w:val="both"/>
        <w:rPr>
          <w:rFonts w:ascii="Arial" w:hAnsi="Arial" w:cs="Arial"/>
        </w:rPr>
      </w:pPr>
      <w:bookmarkStart w:id="2" w:name="role-et-competence"/>
      <w:bookmarkEnd w:id="2"/>
    </w:p>
    <w:p w14:paraId="269B2B64" w14:textId="77777777" w:rsidR="005E722E" w:rsidRPr="00F2135F" w:rsidRDefault="005E722E" w:rsidP="00F2135F">
      <w:pPr>
        <w:jc w:val="both"/>
        <w:rPr>
          <w:rFonts w:ascii="Arial" w:hAnsi="Arial" w:cs="Arial"/>
        </w:rPr>
      </w:pPr>
      <w:bookmarkStart w:id="3" w:name="date-d-entree-en-vigueur"/>
      <w:bookmarkEnd w:id="3"/>
    </w:p>
    <w:p w14:paraId="04E74952" w14:textId="2F231A57" w:rsidR="005E722E" w:rsidRPr="004C4C19" w:rsidRDefault="0031776B" w:rsidP="00F2135F">
      <w:pPr>
        <w:jc w:val="both"/>
        <w:rPr>
          <w:rFonts w:ascii="Arial" w:hAnsi="Arial" w:cs="Arial"/>
          <w:b/>
        </w:rPr>
      </w:pPr>
      <w:r w:rsidRPr="00F2135F">
        <w:rPr>
          <w:rFonts w:ascii="Arial" w:hAnsi="Arial" w:cs="Arial"/>
          <w:b/>
        </w:rPr>
        <w:t xml:space="preserve">* </w:t>
      </w:r>
      <w:r w:rsidR="007343A8" w:rsidRPr="00F2135F">
        <w:rPr>
          <w:rFonts w:ascii="Arial" w:hAnsi="Arial" w:cs="Arial"/>
          <w:b/>
        </w:rPr>
        <w:t>L</w:t>
      </w:r>
      <w:r w:rsidR="00C50FD9" w:rsidRPr="00F2135F">
        <w:rPr>
          <w:rFonts w:ascii="Arial" w:hAnsi="Arial" w:cs="Arial"/>
          <w:b/>
        </w:rPr>
        <w:t>a conciliation obligatoire pour les litiges civils inférieurs à 4000 euros</w:t>
      </w:r>
    </w:p>
    <w:p w14:paraId="3C4AC735" w14:textId="77777777" w:rsidR="004E7A68" w:rsidRPr="00602E67" w:rsidRDefault="00493D5E" w:rsidP="00F2135F">
      <w:pPr>
        <w:jc w:val="both"/>
        <w:rPr>
          <w:rFonts w:ascii="Arial" w:hAnsi="Arial" w:cs="Arial"/>
        </w:rPr>
      </w:pPr>
      <w:bookmarkStart w:id="4" w:name="JORFARTI000033418816"/>
      <w:bookmarkEnd w:id="4"/>
      <w:r w:rsidRPr="00602E67">
        <w:rPr>
          <w:rFonts w:ascii="Arial" w:hAnsi="Arial" w:cs="Arial"/>
        </w:rPr>
        <w:t>Art</w:t>
      </w:r>
      <w:r w:rsidR="00C50FD9" w:rsidRPr="00602E67">
        <w:rPr>
          <w:rFonts w:ascii="Arial" w:hAnsi="Arial" w:cs="Arial"/>
        </w:rPr>
        <w:t>icle 4</w:t>
      </w:r>
      <w:r w:rsidR="007343A8" w:rsidRPr="00602E67">
        <w:rPr>
          <w:rFonts w:ascii="Arial" w:hAnsi="Arial" w:cs="Arial"/>
        </w:rPr>
        <w:t xml:space="preserve"> de la loi n° 2016-1547 du 18 novembre 2016</w:t>
      </w:r>
      <w:r w:rsidR="004E7A68" w:rsidRPr="00602E67">
        <w:rPr>
          <w:rFonts w:ascii="Arial" w:hAnsi="Arial" w:cs="Arial"/>
        </w:rPr>
        <w:t xml:space="preserve"> : </w:t>
      </w:r>
    </w:p>
    <w:p w14:paraId="086953F7" w14:textId="097EA9A2" w:rsidR="0031776B" w:rsidRPr="00602E67" w:rsidRDefault="007343A8" w:rsidP="00F2135F">
      <w:pPr>
        <w:jc w:val="both"/>
        <w:rPr>
          <w:rFonts w:ascii="Arial" w:hAnsi="Arial" w:cs="Arial"/>
        </w:rPr>
      </w:pPr>
      <w:r w:rsidRPr="00602E67">
        <w:rPr>
          <w:rFonts w:ascii="Arial" w:hAnsi="Arial" w:cs="Arial"/>
          <w:i/>
        </w:rPr>
        <w:t>« </w:t>
      </w:r>
      <w:r w:rsidR="00493D5E" w:rsidRPr="00602E67">
        <w:rPr>
          <w:rFonts w:ascii="Arial" w:hAnsi="Arial" w:cs="Arial"/>
          <w:i/>
        </w:rPr>
        <w:t>A peine d'irrecevabilité que le juge peut prononcer d'office, la saisine du tribunal d'instance par déclaration au greffe doit être précédée d'une tentative de conciliation menée par un conciliateur de justice, sauf :</w:t>
      </w:r>
    </w:p>
    <w:p w14:paraId="27B783E2" w14:textId="3D03A740" w:rsidR="0031776B" w:rsidRPr="00602E67" w:rsidRDefault="00493D5E" w:rsidP="00F2135F">
      <w:pPr>
        <w:jc w:val="both"/>
        <w:rPr>
          <w:rFonts w:ascii="Arial" w:hAnsi="Arial" w:cs="Arial"/>
          <w:i/>
        </w:rPr>
      </w:pPr>
      <w:r w:rsidRPr="00602E67">
        <w:rPr>
          <w:rFonts w:ascii="Arial" w:hAnsi="Arial" w:cs="Arial"/>
          <w:i/>
        </w:rPr>
        <w:t>1° Si l'une des parties au moins sollicite l'homologation d'un accord ;</w:t>
      </w:r>
    </w:p>
    <w:p w14:paraId="50F8328B" w14:textId="503422FB" w:rsidR="0031776B" w:rsidRPr="00602E67" w:rsidRDefault="00493D5E" w:rsidP="00F2135F">
      <w:pPr>
        <w:jc w:val="both"/>
        <w:rPr>
          <w:rFonts w:ascii="Arial" w:hAnsi="Arial" w:cs="Arial"/>
          <w:i/>
        </w:rPr>
      </w:pPr>
      <w:r w:rsidRPr="00602E67">
        <w:rPr>
          <w:rFonts w:ascii="Arial" w:hAnsi="Arial" w:cs="Arial"/>
          <w:i/>
        </w:rPr>
        <w:t>2° Si les parties justifient d'autres diligences entreprises en vue de parvenir à une résolution amiable de leur litige ;</w:t>
      </w:r>
    </w:p>
    <w:p w14:paraId="070EEA0B" w14:textId="7B2EE420" w:rsidR="00493D5E" w:rsidRPr="00602E67" w:rsidRDefault="00493D5E" w:rsidP="00F2135F">
      <w:pPr>
        <w:jc w:val="both"/>
        <w:rPr>
          <w:rFonts w:ascii="Arial" w:hAnsi="Arial" w:cs="Arial"/>
          <w:i/>
        </w:rPr>
      </w:pPr>
      <w:r w:rsidRPr="00602E67">
        <w:rPr>
          <w:rFonts w:ascii="Arial" w:hAnsi="Arial" w:cs="Arial"/>
          <w:i/>
        </w:rPr>
        <w:t>3° Si l'absence de recours à la conciliation est justifiée par un motif légitime</w:t>
      </w:r>
      <w:r w:rsidR="007343A8" w:rsidRPr="00602E67">
        <w:rPr>
          <w:rFonts w:ascii="Arial" w:hAnsi="Arial" w:cs="Arial"/>
          <w:i/>
        </w:rPr>
        <w:t> »</w:t>
      </w:r>
      <w:r w:rsidRPr="00602E67">
        <w:rPr>
          <w:rFonts w:ascii="Arial" w:hAnsi="Arial" w:cs="Arial"/>
          <w:i/>
        </w:rPr>
        <w:t>.</w:t>
      </w:r>
    </w:p>
    <w:p w14:paraId="50F2A3DF" w14:textId="77777777" w:rsidR="004E7A68" w:rsidRPr="00602E67" w:rsidRDefault="004E7A68" w:rsidP="00F2135F">
      <w:pPr>
        <w:jc w:val="both"/>
        <w:rPr>
          <w:rFonts w:ascii="Arial" w:hAnsi="Arial" w:cs="Arial"/>
        </w:rPr>
      </w:pPr>
      <w:bookmarkStart w:id="5" w:name="JORFARTI000033418817"/>
      <w:bookmarkEnd w:id="5"/>
    </w:p>
    <w:p w14:paraId="5BFD4B7C" w14:textId="625453E2" w:rsidR="00C50FD9" w:rsidRPr="00602E67" w:rsidRDefault="007343A8" w:rsidP="00F2135F">
      <w:pPr>
        <w:jc w:val="both"/>
        <w:rPr>
          <w:rFonts w:ascii="Arial" w:hAnsi="Arial" w:cs="Arial"/>
        </w:rPr>
      </w:pPr>
      <w:r w:rsidRPr="00602E67">
        <w:rPr>
          <w:rFonts w:ascii="Arial" w:hAnsi="Arial" w:cs="Arial"/>
        </w:rPr>
        <w:t>L’objectif est de favoriser les modes alternatifs de règlements des différends.</w:t>
      </w:r>
      <w:r w:rsidR="00C50FD9" w:rsidRPr="00602E67">
        <w:rPr>
          <w:rFonts w:ascii="Arial" w:hAnsi="Arial" w:cs="Arial"/>
        </w:rPr>
        <w:t xml:space="preserve"> </w:t>
      </w:r>
      <w:r w:rsidR="005A1DCE" w:rsidRPr="00602E67">
        <w:rPr>
          <w:rFonts w:ascii="Arial" w:hAnsi="Arial" w:cs="Arial"/>
        </w:rPr>
        <w:t xml:space="preserve">Le juge « peut » prononcer l’irrecevabilité mais n’est aucunement obligé de le faire. </w:t>
      </w:r>
    </w:p>
    <w:p w14:paraId="36B203B9" w14:textId="77777777" w:rsidR="00493D5E" w:rsidRPr="00F2135F" w:rsidRDefault="00493D5E" w:rsidP="00F2135F">
      <w:pPr>
        <w:jc w:val="both"/>
        <w:rPr>
          <w:rFonts w:ascii="Arial" w:hAnsi="Arial" w:cs="Arial"/>
        </w:rPr>
      </w:pPr>
    </w:p>
    <w:p w14:paraId="66458FBF" w14:textId="77777777" w:rsidR="00041F19" w:rsidRPr="00F2135F" w:rsidRDefault="00041F19" w:rsidP="00F2135F">
      <w:pPr>
        <w:jc w:val="both"/>
        <w:rPr>
          <w:rFonts w:ascii="Arial" w:hAnsi="Arial" w:cs="Arial"/>
        </w:rPr>
      </w:pPr>
    </w:p>
    <w:p w14:paraId="1A97F43E" w14:textId="27786239" w:rsidR="007343A8" w:rsidRPr="00D3401E" w:rsidRDefault="00C50FD9" w:rsidP="00D3401E">
      <w:pPr>
        <w:pStyle w:val="Paragraphedeliste"/>
        <w:numPr>
          <w:ilvl w:val="0"/>
          <w:numId w:val="7"/>
        </w:numPr>
        <w:jc w:val="both"/>
        <w:rPr>
          <w:rFonts w:ascii="Arial" w:hAnsi="Arial" w:cs="Arial"/>
        </w:rPr>
      </w:pPr>
      <w:r w:rsidRPr="00D3401E">
        <w:rPr>
          <w:rFonts w:ascii="Arial" w:hAnsi="Arial" w:cs="Arial"/>
          <w:b/>
        </w:rPr>
        <w:t>A</w:t>
      </w:r>
      <w:r w:rsidR="007343A8" w:rsidRPr="00D3401E">
        <w:rPr>
          <w:rFonts w:ascii="Arial" w:hAnsi="Arial" w:cs="Arial"/>
          <w:b/>
        </w:rPr>
        <w:t>u 1</w:t>
      </w:r>
      <w:r w:rsidR="007343A8" w:rsidRPr="00D3401E">
        <w:rPr>
          <w:rFonts w:ascii="Arial" w:hAnsi="Arial" w:cs="Arial"/>
          <w:b/>
          <w:vertAlign w:val="superscript"/>
        </w:rPr>
        <w:t>er</w:t>
      </w:r>
      <w:r w:rsidR="0031776B" w:rsidRPr="00D3401E">
        <w:rPr>
          <w:rFonts w:ascii="Arial" w:hAnsi="Arial" w:cs="Arial"/>
          <w:b/>
        </w:rPr>
        <w:t xml:space="preserve"> novembre 2017</w:t>
      </w:r>
      <w:r w:rsidR="00186AF8" w:rsidRPr="00D3401E">
        <w:rPr>
          <w:rFonts w:ascii="Arial" w:hAnsi="Arial" w:cs="Arial"/>
        </w:rPr>
        <w:t> : enregistrement du PACS.</w:t>
      </w:r>
    </w:p>
    <w:p w14:paraId="01EE2119" w14:textId="77777777" w:rsidR="00D3401E" w:rsidRPr="00D3401E" w:rsidRDefault="00D3401E" w:rsidP="00D3401E">
      <w:pPr>
        <w:pStyle w:val="Paragraphedeliste"/>
        <w:jc w:val="both"/>
        <w:rPr>
          <w:rFonts w:ascii="Arial" w:hAnsi="Arial" w:cs="Arial"/>
        </w:rPr>
      </w:pPr>
    </w:p>
    <w:p w14:paraId="5178F8D8" w14:textId="28EF5DCC" w:rsidR="00D3401E" w:rsidRPr="00F2135F" w:rsidRDefault="005A1DCE" w:rsidP="00F2135F">
      <w:pPr>
        <w:jc w:val="both"/>
        <w:rPr>
          <w:rFonts w:ascii="Arial" w:hAnsi="Arial" w:cs="Arial"/>
        </w:rPr>
      </w:pPr>
      <w:r w:rsidRPr="00F2135F">
        <w:rPr>
          <w:rFonts w:ascii="Arial" w:hAnsi="Arial" w:cs="Arial"/>
        </w:rPr>
        <w:t>L’a</w:t>
      </w:r>
      <w:r w:rsidR="00041F19" w:rsidRPr="00F2135F">
        <w:rPr>
          <w:rFonts w:ascii="Arial" w:hAnsi="Arial" w:cs="Arial"/>
        </w:rPr>
        <w:t>rticle 48 </w:t>
      </w:r>
      <w:r w:rsidR="00186AF8" w:rsidRPr="00F2135F">
        <w:rPr>
          <w:rFonts w:ascii="Arial" w:hAnsi="Arial" w:cs="Arial"/>
        </w:rPr>
        <w:t>de la loi n° 2016-1547 du 18 novembre 2016 </w:t>
      </w:r>
      <w:r w:rsidR="00041F19" w:rsidRPr="00F2135F">
        <w:rPr>
          <w:rFonts w:ascii="Arial" w:hAnsi="Arial" w:cs="Arial"/>
        </w:rPr>
        <w:t xml:space="preserve">: Le Pacte civil de </w:t>
      </w:r>
      <w:r w:rsidR="002D38B0" w:rsidRPr="00F2135F">
        <w:rPr>
          <w:rFonts w:ascii="Arial" w:hAnsi="Arial" w:cs="Arial"/>
        </w:rPr>
        <w:t xml:space="preserve">solidarité </w:t>
      </w:r>
      <w:r w:rsidR="00041F19" w:rsidRPr="00F2135F">
        <w:rPr>
          <w:rFonts w:ascii="Arial" w:hAnsi="Arial" w:cs="Arial"/>
        </w:rPr>
        <w:t xml:space="preserve">(PACS) n’est plus enregistré au </w:t>
      </w:r>
      <w:r w:rsidRPr="00F2135F">
        <w:rPr>
          <w:rFonts w:ascii="Arial" w:hAnsi="Arial" w:cs="Arial"/>
        </w:rPr>
        <w:t xml:space="preserve">greffe du </w:t>
      </w:r>
      <w:r w:rsidR="00041F19" w:rsidRPr="00F2135F">
        <w:rPr>
          <w:rFonts w:ascii="Arial" w:hAnsi="Arial" w:cs="Arial"/>
        </w:rPr>
        <w:t>tribunal</w:t>
      </w:r>
      <w:r w:rsidRPr="00F2135F">
        <w:rPr>
          <w:rFonts w:ascii="Arial" w:hAnsi="Arial" w:cs="Arial"/>
        </w:rPr>
        <w:t xml:space="preserve"> d’instance</w:t>
      </w:r>
      <w:r w:rsidR="00041F19" w:rsidRPr="00F2135F">
        <w:rPr>
          <w:rFonts w:ascii="Arial" w:hAnsi="Arial" w:cs="Arial"/>
        </w:rPr>
        <w:t xml:space="preserve">, mais en mairie, </w:t>
      </w:r>
      <w:r w:rsidRPr="00F2135F">
        <w:rPr>
          <w:rFonts w:ascii="Arial" w:hAnsi="Arial" w:cs="Arial"/>
        </w:rPr>
        <w:t>afin de  permettre</w:t>
      </w:r>
      <w:r w:rsidR="00041F19" w:rsidRPr="00F2135F">
        <w:rPr>
          <w:rFonts w:ascii="Arial" w:hAnsi="Arial" w:cs="Arial"/>
        </w:rPr>
        <w:t xml:space="preserve"> un enregistrement plus simple et plus rapide. </w:t>
      </w:r>
    </w:p>
    <w:p w14:paraId="797ABCAB" w14:textId="77777777" w:rsidR="00041F19" w:rsidRPr="00F2135F" w:rsidRDefault="00041F19" w:rsidP="00F2135F">
      <w:pPr>
        <w:jc w:val="both"/>
        <w:rPr>
          <w:rFonts w:ascii="Arial" w:hAnsi="Arial" w:cs="Arial"/>
        </w:rPr>
      </w:pPr>
    </w:p>
    <w:p w14:paraId="74A4F6A9" w14:textId="77777777" w:rsidR="00041F19" w:rsidRPr="00F2135F" w:rsidRDefault="00041F19" w:rsidP="00F2135F">
      <w:pPr>
        <w:jc w:val="both"/>
        <w:rPr>
          <w:rFonts w:ascii="Arial" w:hAnsi="Arial" w:cs="Arial"/>
        </w:rPr>
      </w:pPr>
    </w:p>
    <w:p w14:paraId="3E5DB648" w14:textId="7B67B0BF" w:rsidR="002D38B0" w:rsidRPr="00F2135F" w:rsidRDefault="002D38B0" w:rsidP="00F2135F">
      <w:pPr>
        <w:pStyle w:val="NormalWeb"/>
        <w:numPr>
          <w:ilvl w:val="0"/>
          <w:numId w:val="4"/>
        </w:numPr>
        <w:jc w:val="both"/>
        <w:rPr>
          <w:rFonts w:ascii="Arial" w:hAnsi="Arial" w:cs="Arial"/>
          <w:b/>
          <w:color w:val="0070C0"/>
          <w:sz w:val="24"/>
          <w:szCs w:val="24"/>
        </w:rPr>
      </w:pPr>
      <w:r w:rsidRPr="00F2135F">
        <w:rPr>
          <w:rFonts w:ascii="Arial" w:hAnsi="Arial" w:cs="Arial"/>
          <w:b/>
          <w:color w:val="0070C0"/>
          <w:sz w:val="24"/>
          <w:szCs w:val="24"/>
        </w:rPr>
        <w:t xml:space="preserve">Quelques arrêts utiles… </w:t>
      </w:r>
    </w:p>
    <w:p w14:paraId="10B055E7" w14:textId="46599EF4" w:rsidR="00706353" w:rsidRPr="00F2135F" w:rsidRDefault="00D3401E" w:rsidP="00F2135F">
      <w:pPr>
        <w:jc w:val="both"/>
        <w:rPr>
          <w:rFonts w:ascii="Arial" w:hAnsi="Arial" w:cs="Arial"/>
          <w:b/>
        </w:rPr>
      </w:pPr>
      <w:r>
        <w:rPr>
          <w:rFonts w:ascii="Arial" w:hAnsi="Arial" w:cs="Arial"/>
          <w:b/>
        </w:rPr>
        <w:t xml:space="preserve">- </w:t>
      </w:r>
      <w:r w:rsidR="002D38B0" w:rsidRPr="00F2135F">
        <w:rPr>
          <w:rFonts w:ascii="Arial" w:hAnsi="Arial" w:cs="Arial"/>
          <w:b/>
        </w:rPr>
        <w:t xml:space="preserve">Droit du travail : </w:t>
      </w:r>
      <w:r w:rsidR="001E5A9F" w:rsidRPr="00F2135F">
        <w:rPr>
          <w:rFonts w:ascii="Arial" w:hAnsi="Arial" w:cs="Arial"/>
          <w:b/>
        </w:rPr>
        <w:t>licenciement pour faut</w:t>
      </w:r>
      <w:r w:rsidR="003E28F5" w:rsidRPr="00F2135F">
        <w:rPr>
          <w:rFonts w:ascii="Arial" w:hAnsi="Arial" w:cs="Arial"/>
          <w:b/>
        </w:rPr>
        <w:t xml:space="preserve">e grave / devoir de loyauté </w:t>
      </w:r>
    </w:p>
    <w:p w14:paraId="1747DD44" w14:textId="77777777" w:rsidR="003E28F5" w:rsidRDefault="003E28F5" w:rsidP="00F2135F">
      <w:pPr>
        <w:jc w:val="both"/>
        <w:rPr>
          <w:rFonts w:ascii="Arial" w:eastAsia="Times New Roman" w:hAnsi="Arial" w:cs="Arial"/>
          <w:b/>
          <w:bCs/>
          <w:color w:val="333333"/>
          <w:shd w:val="clear" w:color="auto" w:fill="FFFFFF"/>
        </w:rPr>
      </w:pPr>
    </w:p>
    <w:p w14:paraId="00092FBB" w14:textId="77777777" w:rsidR="009A4C0E" w:rsidRPr="00657FE2" w:rsidRDefault="009A4C0E" w:rsidP="009A4C0E">
      <w:pPr>
        <w:pStyle w:val="Sansinterligne"/>
        <w:jc w:val="both"/>
        <w:rPr>
          <w:rFonts w:ascii="Arial" w:hAnsi="Arial" w:cs="Arial"/>
          <w:color w:val="FF0000"/>
          <w:sz w:val="20"/>
          <w:szCs w:val="20"/>
          <w:u w:val="single"/>
        </w:rPr>
      </w:pPr>
      <w:r w:rsidRPr="00657FE2">
        <w:rPr>
          <w:rFonts w:ascii="Arial" w:hAnsi="Arial" w:cs="Arial"/>
          <w:color w:val="FF0000"/>
          <w:sz w:val="20"/>
          <w:szCs w:val="20"/>
          <w:u w:val="single"/>
        </w:rPr>
        <w:t xml:space="preserve">Points de programme concerné : </w:t>
      </w:r>
    </w:p>
    <w:p w14:paraId="7B78D480" w14:textId="77777777" w:rsidR="009A4C0E" w:rsidRPr="00431609" w:rsidRDefault="009A4C0E" w:rsidP="009A4C0E">
      <w:pPr>
        <w:pStyle w:val="Sansinterligne"/>
        <w:jc w:val="both"/>
        <w:rPr>
          <w:rFonts w:ascii="Arial" w:hAnsi="Arial" w:cs="Arial"/>
          <w:color w:val="FF0000"/>
          <w:sz w:val="20"/>
          <w:szCs w:val="20"/>
        </w:rPr>
      </w:pPr>
      <w:r w:rsidRPr="00431609">
        <w:rPr>
          <w:rFonts w:ascii="Arial" w:hAnsi="Arial" w:cs="Arial"/>
          <w:color w:val="FF0000"/>
          <w:sz w:val="20"/>
          <w:szCs w:val="20"/>
        </w:rPr>
        <w:t>Terminale STMG – Thème 7. Comment le droit encadre-t-il le travail salarié ? La rupture du contrat de travail.</w:t>
      </w:r>
    </w:p>
    <w:p w14:paraId="657D1BD9" w14:textId="77777777" w:rsidR="009A4C0E" w:rsidRPr="00431609" w:rsidRDefault="009A4C0E" w:rsidP="009A4C0E">
      <w:pPr>
        <w:pStyle w:val="Sansinterligne"/>
        <w:jc w:val="both"/>
        <w:rPr>
          <w:rFonts w:ascii="Arial" w:hAnsi="Arial" w:cs="Arial"/>
          <w:color w:val="FF0000"/>
          <w:sz w:val="20"/>
          <w:szCs w:val="20"/>
        </w:rPr>
      </w:pPr>
      <w:r w:rsidRPr="00431609">
        <w:rPr>
          <w:rFonts w:ascii="Arial" w:hAnsi="Arial" w:cs="Arial"/>
          <w:color w:val="FF0000"/>
          <w:sz w:val="20"/>
          <w:szCs w:val="20"/>
        </w:rPr>
        <w:t>STS 1</w:t>
      </w:r>
      <w:r w:rsidRPr="00431609">
        <w:rPr>
          <w:rFonts w:ascii="Arial" w:hAnsi="Arial" w:cs="Arial"/>
          <w:color w:val="FF0000"/>
          <w:sz w:val="20"/>
          <w:szCs w:val="20"/>
          <w:vertAlign w:val="superscript"/>
        </w:rPr>
        <w:t>ère</w:t>
      </w:r>
      <w:r w:rsidRPr="00431609">
        <w:rPr>
          <w:rFonts w:ascii="Arial" w:hAnsi="Arial" w:cs="Arial"/>
          <w:color w:val="FF0000"/>
          <w:sz w:val="20"/>
          <w:szCs w:val="20"/>
        </w:rPr>
        <w:t xml:space="preserve"> année. Thème 1 : L’individu au travail - 121. Les régimes juridiques de l’activité professionnelle </w:t>
      </w:r>
    </w:p>
    <w:p w14:paraId="0BA24A4C" w14:textId="30486728" w:rsidR="009A4C0E" w:rsidRPr="00431609" w:rsidRDefault="009A4C0E" w:rsidP="009A4C0E">
      <w:pPr>
        <w:pStyle w:val="Sansinterligne"/>
        <w:jc w:val="both"/>
        <w:rPr>
          <w:rFonts w:ascii="Arial" w:hAnsi="Arial" w:cs="Arial"/>
          <w:color w:val="FF0000"/>
          <w:sz w:val="20"/>
          <w:szCs w:val="20"/>
        </w:rPr>
      </w:pPr>
      <w:r w:rsidRPr="00431609">
        <w:rPr>
          <w:rFonts w:ascii="Arial" w:hAnsi="Arial" w:cs="Arial"/>
          <w:color w:val="FF0000"/>
          <w:sz w:val="20"/>
          <w:szCs w:val="20"/>
        </w:rPr>
        <w:t xml:space="preserve">DGEMC - Thème 2 .3 : Le travailleur  </w:t>
      </w:r>
    </w:p>
    <w:p w14:paraId="5FB363D1" w14:textId="77777777" w:rsidR="009A4C0E" w:rsidRPr="00F2135F" w:rsidRDefault="009A4C0E" w:rsidP="00F2135F">
      <w:pPr>
        <w:jc w:val="both"/>
        <w:rPr>
          <w:rFonts w:ascii="Arial" w:eastAsia="Times New Roman" w:hAnsi="Arial" w:cs="Arial"/>
          <w:b/>
          <w:bCs/>
          <w:color w:val="333333"/>
          <w:shd w:val="clear" w:color="auto" w:fill="FFFFFF"/>
        </w:rPr>
      </w:pPr>
    </w:p>
    <w:p w14:paraId="6B31314F" w14:textId="29C5C156" w:rsidR="002D38B0" w:rsidRPr="00602E67" w:rsidRDefault="005A1DCE" w:rsidP="00F2135F">
      <w:pPr>
        <w:jc w:val="both"/>
        <w:rPr>
          <w:rFonts w:ascii="Arial" w:hAnsi="Arial" w:cs="Arial"/>
        </w:rPr>
      </w:pPr>
      <w:r w:rsidRPr="00602E67">
        <w:rPr>
          <w:rFonts w:ascii="Arial" w:eastAsia="Times New Roman" w:hAnsi="Arial" w:cs="Arial"/>
          <w:b/>
          <w:bCs/>
          <w:shd w:val="clear" w:color="auto" w:fill="FFFFFF"/>
        </w:rPr>
        <w:t xml:space="preserve">Cour de cassation, </w:t>
      </w:r>
      <w:r w:rsidR="003E28F5" w:rsidRPr="00602E67">
        <w:rPr>
          <w:rFonts w:ascii="Arial" w:eastAsia="Times New Roman" w:hAnsi="Arial" w:cs="Arial"/>
          <w:b/>
          <w:bCs/>
          <w:shd w:val="clear" w:color="auto" w:fill="FFFFFF"/>
        </w:rPr>
        <w:t>Chambre sociale, 5 juillet 2017</w:t>
      </w:r>
      <w:r w:rsidR="00602E67">
        <w:rPr>
          <w:rFonts w:ascii="Arial" w:eastAsia="Times New Roman" w:hAnsi="Arial" w:cs="Arial"/>
          <w:b/>
          <w:bCs/>
          <w:shd w:val="clear" w:color="auto" w:fill="FFFFFF"/>
        </w:rPr>
        <w:t>.</w:t>
      </w:r>
    </w:p>
    <w:p w14:paraId="26AD1E0A" w14:textId="6DAA9379" w:rsidR="002D38B0" w:rsidRPr="00602E67" w:rsidRDefault="00164F61" w:rsidP="00F2135F">
      <w:pPr>
        <w:jc w:val="both"/>
        <w:rPr>
          <w:rFonts w:ascii="Arial" w:eastAsia="Times New Roman" w:hAnsi="Arial" w:cs="Arial"/>
          <w:b/>
          <w:bCs/>
          <w:u w:val="single"/>
          <w:shd w:val="clear" w:color="auto" w:fill="FFFFFF"/>
        </w:rPr>
      </w:pPr>
      <w:r w:rsidRPr="00602E67">
        <w:rPr>
          <w:rFonts w:ascii="Arial" w:hAnsi="Arial" w:cs="Arial"/>
        </w:rPr>
        <w:t xml:space="preserve">Une salariée, </w:t>
      </w:r>
      <w:r w:rsidR="00706353" w:rsidRPr="00602E67">
        <w:rPr>
          <w:rFonts w:ascii="Arial" w:hAnsi="Arial" w:cs="Arial"/>
        </w:rPr>
        <w:t xml:space="preserve">engagée en 2007 par une entreprise de </w:t>
      </w:r>
      <w:r w:rsidR="002D38B0" w:rsidRPr="00602E67">
        <w:rPr>
          <w:rFonts w:ascii="Arial" w:hAnsi="Arial" w:cs="Arial"/>
        </w:rPr>
        <w:t xml:space="preserve">sécurité, </w:t>
      </w:r>
      <w:r w:rsidRPr="00602E67">
        <w:rPr>
          <w:rFonts w:ascii="Arial" w:hAnsi="Arial" w:cs="Arial"/>
        </w:rPr>
        <w:t xml:space="preserve"> est licenciée en 2013 par</w:t>
      </w:r>
      <w:r w:rsidR="002D38B0" w:rsidRPr="00602E67">
        <w:rPr>
          <w:rFonts w:ascii="Arial" w:hAnsi="Arial" w:cs="Arial"/>
        </w:rPr>
        <w:t xml:space="preserve"> son employeur </w:t>
      </w:r>
      <w:r w:rsidRPr="00602E67">
        <w:rPr>
          <w:rFonts w:ascii="Arial" w:hAnsi="Arial" w:cs="Arial"/>
        </w:rPr>
        <w:t xml:space="preserve">qui </w:t>
      </w:r>
      <w:r w:rsidR="002D38B0" w:rsidRPr="00602E67">
        <w:rPr>
          <w:rFonts w:ascii="Arial" w:hAnsi="Arial" w:cs="Arial"/>
        </w:rPr>
        <w:t>lui reproche</w:t>
      </w:r>
      <w:r w:rsidR="00706353" w:rsidRPr="00602E67">
        <w:rPr>
          <w:rFonts w:ascii="Arial" w:hAnsi="Arial" w:cs="Arial"/>
        </w:rPr>
        <w:t xml:space="preserve"> d’avoir exercé pendant ses congés</w:t>
      </w:r>
      <w:r w:rsidR="005A1DCE" w:rsidRPr="00602E67">
        <w:rPr>
          <w:rFonts w:ascii="Arial" w:hAnsi="Arial" w:cs="Arial"/>
        </w:rPr>
        <w:t xml:space="preserve"> payés, les fonctions de maî</w:t>
      </w:r>
      <w:r w:rsidR="002D38B0" w:rsidRPr="00602E67">
        <w:rPr>
          <w:rFonts w:ascii="Arial" w:hAnsi="Arial" w:cs="Arial"/>
        </w:rPr>
        <w:t>tre-</w:t>
      </w:r>
      <w:r w:rsidR="00706353" w:rsidRPr="00602E67">
        <w:rPr>
          <w:rFonts w:ascii="Arial" w:hAnsi="Arial" w:cs="Arial"/>
        </w:rPr>
        <w:t>chien identiques à celle</w:t>
      </w:r>
      <w:r w:rsidR="002D38B0" w:rsidRPr="00602E67">
        <w:rPr>
          <w:rFonts w:ascii="Arial" w:hAnsi="Arial" w:cs="Arial"/>
        </w:rPr>
        <w:t xml:space="preserve">s occupées dans la société pour </w:t>
      </w:r>
      <w:r w:rsidR="005A1DCE" w:rsidRPr="00602E67">
        <w:rPr>
          <w:rFonts w:ascii="Arial" w:hAnsi="Arial" w:cs="Arial"/>
        </w:rPr>
        <w:t>un</w:t>
      </w:r>
      <w:r w:rsidR="00706353" w:rsidRPr="00602E67">
        <w:rPr>
          <w:rFonts w:ascii="Arial" w:hAnsi="Arial" w:cs="Arial"/>
        </w:rPr>
        <w:t xml:space="preserve"> </w:t>
      </w:r>
      <w:r w:rsidR="005A1DCE" w:rsidRPr="00602E67">
        <w:rPr>
          <w:rFonts w:ascii="Arial" w:hAnsi="Arial" w:cs="Arial"/>
          <w:u w:val="single"/>
        </w:rPr>
        <w:t>concurrent direct</w:t>
      </w:r>
      <w:r w:rsidR="002D38B0" w:rsidRPr="00602E67">
        <w:rPr>
          <w:rFonts w:ascii="Arial" w:hAnsi="Arial" w:cs="Arial"/>
          <w:u w:val="single"/>
        </w:rPr>
        <w:t xml:space="preserve">, </w:t>
      </w:r>
      <w:r w:rsidR="00706353" w:rsidRPr="00602E67">
        <w:rPr>
          <w:rFonts w:ascii="Arial" w:hAnsi="Arial" w:cs="Arial"/>
          <w:u w:val="single"/>
        </w:rPr>
        <w:t xml:space="preserve">intervenant dans le même secteur et la même </w:t>
      </w:r>
      <w:r w:rsidR="002D38B0" w:rsidRPr="00602E67">
        <w:rPr>
          <w:rFonts w:ascii="Arial" w:hAnsi="Arial" w:cs="Arial"/>
          <w:u w:val="single"/>
        </w:rPr>
        <w:t xml:space="preserve">zone géographique. </w:t>
      </w:r>
    </w:p>
    <w:p w14:paraId="1D257315" w14:textId="77777777" w:rsidR="002D38B0" w:rsidRPr="00602E67" w:rsidRDefault="002D38B0" w:rsidP="00F2135F">
      <w:pPr>
        <w:jc w:val="both"/>
        <w:rPr>
          <w:rFonts w:ascii="Arial" w:hAnsi="Arial" w:cs="Arial"/>
        </w:rPr>
      </w:pPr>
      <w:r w:rsidRPr="00602E67">
        <w:rPr>
          <w:rFonts w:ascii="Arial" w:hAnsi="Arial" w:cs="Arial"/>
        </w:rPr>
        <w:t>La salariée licenciée forme un pourvoi en cassation contre l’arrêt de la cour d’appel.</w:t>
      </w:r>
    </w:p>
    <w:p w14:paraId="57DC370A" w14:textId="1AED1A4F" w:rsidR="00706353" w:rsidRPr="00602E67" w:rsidRDefault="00164F61" w:rsidP="00F2135F">
      <w:pPr>
        <w:jc w:val="both"/>
        <w:rPr>
          <w:rFonts w:ascii="Arial" w:hAnsi="Arial" w:cs="Arial"/>
        </w:rPr>
      </w:pPr>
      <w:r w:rsidRPr="00602E67">
        <w:rPr>
          <w:rFonts w:ascii="Arial" w:hAnsi="Arial" w:cs="Arial"/>
        </w:rPr>
        <w:t>La C</w:t>
      </w:r>
      <w:r w:rsidR="002D38B0" w:rsidRPr="00602E67">
        <w:rPr>
          <w:rFonts w:ascii="Arial" w:hAnsi="Arial" w:cs="Arial"/>
        </w:rPr>
        <w:t xml:space="preserve">our de cassation rejette le pourvoi au motif que la salariée </w:t>
      </w:r>
      <w:r w:rsidR="00706353" w:rsidRPr="00602E67">
        <w:rPr>
          <w:rFonts w:ascii="Arial" w:hAnsi="Arial" w:cs="Arial"/>
        </w:rPr>
        <w:t>manque à son obligation de</w:t>
      </w:r>
      <w:r w:rsidR="002D38B0" w:rsidRPr="00602E67">
        <w:rPr>
          <w:rFonts w:ascii="Arial" w:hAnsi="Arial" w:cs="Arial"/>
        </w:rPr>
        <w:t xml:space="preserve">  loyauté en fournissant par son travail à la</w:t>
      </w:r>
      <w:r w:rsidR="00706353" w:rsidRPr="00602E67">
        <w:rPr>
          <w:rFonts w:ascii="Arial" w:hAnsi="Arial" w:cs="Arial"/>
        </w:rPr>
        <w:t xml:space="preserve"> société </w:t>
      </w:r>
      <w:r w:rsidR="002D38B0" w:rsidRPr="00602E67">
        <w:rPr>
          <w:rFonts w:ascii="Arial" w:hAnsi="Arial" w:cs="Arial"/>
        </w:rPr>
        <w:t>concurrente</w:t>
      </w:r>
      <w:r w:rsidR="00706353" w:rsidRPr="00602E67">
        <w:rPr>
          <w:rFonts w:ascii="Arial" w:hAnsi="Arial" w:cs="Arial"/>
        </w:rPr>
        <w:t>, les moyens de concurrencer son employeur</w:t>
      </w:r>
      <w:r w:rsidR="002D38B0" w:rsidRPr="00602E67">
        <w:rPr>
          <w:rFonts w:ascii="Arial" w:hAnsi="Arial" w:cs="Arial"/>
        </w:rPr>
        <w:t>.</w:t>
      </w:r>
    </w:p>
    <w:p w14:paraId="36385659" w14:textId="79F566F7" w:rsidR="00706353" w:rsidRPr="00602E67" w:rsidRDefault="004E7A68" w:rsidP="00F2135F">
      <w:pPr>
        <w:jc w:val="both"/>
        <w:rPr>
          <w:rFonts w:ascii="Arial" w:hAnsi="Arial" w:cs="Arial"/>
          <w:i/>
        </w:rPr>
      </w:pPr>
      <w:r w:rsidRPr="00602E67">
        <w:rPr>
          <w:rFonts w:ascii="Arial" w:hAnsi="Arial" w:cs="Arial"/>
          <w:i/>
        </w:rPr>
        <w:t>« </w:t>
      </w:r>
      <w:r w:rsidR="00706353" w:rsidRPr="00602E67">
        <w:rPr>
          <w:rFonts w:ascii="Arial" w:hAnsi="Arial" w:cs="Arial"/>
          <w:i/>
        </w:rPr>
        <w:t xml:space="preserve">Sans avoir à caractériser l’existence d’un </w:t>
      </w:r>
      <w:r w:rsidR="00550862" w:rsidRPr="00602E67">
        <w:rPr>
          <w:rFonts w:ascii="Arial" w:hAnsi="Arial" w:cs="Arial"/>
          <w:i/>
        </w:rPr>
        <w:t>préjudice</w:t>
      </w:r>
      <w:r w:rsidR="00706353" w:rsidRPr="00602E67">
        <w:rPr>
          <w:rFonts w:ascii="Arial" w:hAnsi="Arial" w:cs="Arial"/>
          <w:i/>
        </w:rPr>
        <w:t xml:space="preserve"> </w:t>
      </w:r>
      <w:r w:rsidR="00550862" w:rsidRPr="00602E67">
        <w:rPr>
          <w:rFonts w:ascii="Arial" w:hAnsi="Arial" w:cs="Arial"/>
          <w:i/>
        </w:rPr>
        <w:t>particulier</w:t>
      </w:r>
      <w:r w:rsidR="00706353" w:rsidRPr="00602E67">
        <w:rPr>
          <w:rFonts w:ascii="Arial" w:hAnsi="Arial" w:cs="Arial"/>
          <w:i/>
        </w:rPr>
        <w:t xml:space="preserve"> subi par l’employeur, ces agissements sont d’une gravité telle qu’ils rendent impossible le maintien de la salariée dans</w:t>
      </w:r>
      <w:r w:rsidR="00550862" w:rsidRPr="00602E67">
        <w:rPr>
          <w:rFonts w:ascii="Arial" w:hAnsi="Arial" w:cs="Arial"/>
          <w:i/>
        </w:rPr>
        <w:t xml:space="preserve"> </w:t>
      </w:r>
      <w:r w:rsidR="00706353" w:rsidRPr="00602E67">
        <w:rPr>
          <w:rFonts w:ascii="Arial" w:hAnsi="Arial" w:cs="Arial"/>
          <w:i/>
        </w:rPr>
        <w:t>l’entreprise et motive</w:t>
      </w:r>
      <w:r w:rsidR="00550862" w:rsidRPr="00602E67">
        <w:rPr>
          <w:rFonts w:ascii="Arial" w:hAnsi="Arial" w:cs="Arial"/>
          <w:i/>
        </w:rPr>
        <w:t>nt</w:t>
      </w:r>
      <w:r w:rsidR="00706353" w:rsidRPr="00602E67">
        <w:rPr>
          <w:rFonts w:ascii="Arial" w:hAnsi="Arial" w:cs="Arial"/>
          <w:i/>
        </w:rPr>
        <w:t xml:space="preserve"> son licenciement </w:t>
      </w:r>
      <w:r w:rsidRPr="00602E67">
        <w:rPr>
          <w:rFonts w:ascii="Arial" w:hAnsi="Arial" w:cs="Arial"/>
          <w:i/>
        </w:rPr>
        <w:t>pour faute grave ».</w:t>
      </w:r>
    </w:p>
    <w:p w14:paraId="48B618A1" w14:textId="19B27698" w:rsidR="003E28F5" w:rsidRPr="00411345" w:rsidRDefault="00C34D7D" w:rsidP="00F2135F">
      <w:pPr>
        <w:jc w:val="both"/>
        <w:rPr>
          <w:rFonts w:ascii="Arial" w:eastAsia="Times New Roman" w:hAnsi="Arial" w:cs="Times New Roman"/>
          <w:sz w:val="20"/>
          <w:szCs w:val="20"/>
        </w:rPr>
      </w:pPr>
      <w:hyperlink r:id="rId10" w:history="1">
        <w:r w:rsidR="003E28F5" w:rsidRPr="00411345">
          <w:rPr>
            <w:rStyle w:val="Lienhypertexte"/>
            <w:rFonts w:ascii="Arial" w:eastAsia="Times New Roman" w:hAnsi="Arial" w:cs="Times New Roman"/>
            <w:sz w:val="20"/>
            <w:szCs w:val="20"/>
          </w:rPr>
          <w:t>https://www.legifrance.gouv.fr/affichJuriJudi.do?oldAction=rechJuriJudi&amp;idTexte=JURITEXT000035147608&amp;fastReqId=1462219356&amp;fastPos=1</w:t>
        </w:r>
      </w:hyperlink>
    </w:p>
    <w:p w14:paraId="20A5F1F3" w14:textId="77777777" w:rsidR="003E28F5" w:rsidRPr="00F2135F" w:rsidRDefault="003E28F5" w:rsidP="00F2135F">
      <w:pPr>
        <w:jc w:val="both"/>
        <w:rPr>
          <w:rFonts w:ascii="Arial" w:eastAsia="Times New Roman" w:hAnsi="Arial" w:cs="Times New Roman"/>
        </w:rPr>
      </w:pPr>
    </w:p>
    <w:p w14:paraId="4769038D" w14:textId="77777777" w:rsidR="003E28F5" w:rsidRPr="00F2135F" w:rsidRDefault="003E28F5" w:rsidP="00F2135F">
      <w:pPr>
        <w:jc w:val="both"/>
        <w:rPr>
          <w:rFonts w:ascii="Arial" w:hAnsi="Arial" w:cs="Arial"/>
        </w:rPr>
      </w:pPr>
    </w:p>
    <w:p w14:paraId="445BD6ED" w14:textId="7733CBFB" w:rsidR="00D85CAC" w:rsidRPr="00F2135F" w:rsidRDefault="00D3401E" w:rsidP="00F2135F">
      <w:pPr>
        <w:jc w:val="both"/>
        <w:rPr>
          <w:rFonts w:ascii="Arial" w:hAnsi="Arial" w:cs="Arial"/>
          <w:b/>
        </w:rPr>
      </w:pPr>
      <w:r>
        <w:rPr>
          <w:rFonts w:ascii="Arial" w:hAnsi="Arial" w:cs="Arial"/>
          <w:b/>
        </w:rPr>
        <w:t xml:space="preserve">- </w:t>
      </w:r>
      <w:r w:rsidR="00D85CAC" w:rsidRPr="00F2135F">
        <w:rPr>
          <w:rFonts w:ascii="Arial" w:hAnsi="Arial" w:cs="Arial"/>
          <w:b/>
        </w:rPr>
        <w:t xml:space="preserve">Droit du travail : port de signes religieux dans une entreprise privée </w:t>
      </w:r>
    </w:p>
    <w:p w14:paraId="5080638E" w14:textId="77777777" w:rsidR="00D85CAC" w:rsidRDefault="00D85CAC" w:rsidP="00F2135F">
      <w:pPr>
        <w:jc w:val="both"/>
        <w:rPr>
          <w:rFonts w:ascii="Arial" w:hAnsi="Arial" w:cs="Arial"/>
          <w:b/>
        </w:rPr>
      </w:pPr>
    </w:p>
    <w:p w14:paraId="4FF0DA83" w14:textId="77777777" w:rsidR="009A4C0E" w:rsidRPr="00657FE2" w:rsidRDefault="009A4C0E" w:rsidP="009A4C0E">
      <w:pPr>
        <w:pStyle w:val="Sansinterligne"/>
        <w:jc w:val="both"/>
        <w:rPr>
          <w:rFonts w:ascii="Arial" w:hAnsi="Arial" w:cs="Arial"/>
          <w:color w:val="FF0000"/>
          <w:sz w:val="20"/>
          <w:szCs w:val="20"/>
          <w:u w:val="single"/>
        </w:rPr>
      </w:pPr>
      <w:r w:rsidRPr="00657FE2">
        <w:rPr>
          <w:rFonts w:ascii="Arial" w:hAnsi="Arial" w:cs="Arial"/>
          <w:color w:val="FF0000"/>
          <w:sz w:val="20"/>
          <w:szCs w:val="20"/>
          <w:u w:val="single"/>
        </w:rPr>
        <w:t xml:space="preserve">Points de programme concerné : </w:t>
      </w:r>
    </w:p>
    <w:p w14:paraId="65FBAF4D" w14:textId="16A2607F" w:rsidR="009A4C0E" w:rsidRPr="00431609" w:rsidRDefault="009A4C0E" w:rsidP="009A4C0E">
      <w:pPr>
        <w:pStyle w:val="Sansinterligne"/>
        <w:jc w:val="both"/>
        <w:rPr>
          <w:rFonts w:ascii="Arial" w:hAnsi="Arial" w:cs="Arial"/>
          <w:color w:val="FF0000"/>
          <w:sz w:val="20"/>
          <w:szCs w:val="20"/>
        </w:rPr>
      </w:pPr>
      <w:r w:rsidRPr="00431609">
        <w:rPr>
          <w:rFonts w:ascii="Arial" w:hAnsi="Arial" w:cs="Arial"/>
          <w:color w:val="FF0000"/>
          <w:sz w:val="20"/>
          <w:szCs w:val="20"/>
        </w:rPr>
        <w:t xml:space="preserve">Terminale STMG – Thème 7. Comment le droit encadre-t-il le travail salarié ? </w:t>
      </w:r>
      <w:r w:rsidR="004C4C19" w:rsidRPr="00431609">
        <w:rPr>
          <w:rFonts w:ascii="Arial" w:hAnsi="Arial" w:cs="Arial"/>
          <w:color w:val="FF0000"/>
          <w:sz w:val="20"/>
          <w:szCs w:val="20"/>
        </w:rPr>
        <w:t xml:space="preserve">Les libertés individuelles des salariés - </w:t>
      </w:r>
      <w:r w:rsidRPr="00431609">
        <w:rPr>
          <w:rFonts w:ascii="Arial" w:hAnsi="Arial" w:cs="Arial"/>
          <w:color w:val="FF0000"/>
          <w:sz w:val="20"/>
          <w:szCs w:val="20"/>
        </w:rPr>
        <w:t>La rupture du contrat de travail.</w:t>
      </w:r>
    </w:p>
    <w:p w14:paraId="03810367" w14:textId="77777777" w:rsidR="009A4C0E" w:rsidRPr="00431609" w:rsidRDefault="009A4C0E" w:rsidP="009A4C0E">
      <w:pPr>
        <w:pStyle w:val="Sansinterligne"/>
        <w:jc w:val="both"/>
        <w:rPr>
          <w:rFonts w:ascii="Arial" w:hAnsi="Arial" w:cs="Arial"/>
          <w:color w:val="FF0000"/>
          <w:sz w:val="20"/>
          <w:szCs w:val="20"/>
        </w:rPr>
      </w:pPr>
      <w:r w:rsidRPr="00431609">
        <w:rPr>
          <w:rFonts w:ascii="Arial" w:hAnsi="Arial" w:cs="Arial"/>
          <w:color w:val="FF0000"/>
          <w:sz w:val="20"/>
          <w:szCs w:val="20"/>
        </w:rPr>
        <w:t>STS 1</w:t>
      </w:r>
      <w:r w:rsidRPr="00431609">
        <w:rPr>
          <w:rFonts w:ascii="Arial" w:hAnsi="Arial" w:cs="Arial"/>
          <w:color w:val="FF0000"/>
          <w:sz w:val="20"/>
          <w:szCs w:val="20"/>
          <w:vertAlign w:val="superscript"/>
        </w:rPr>
        <w:t>ère</w:t>
      </w:r>
      <w:r w:rsidRPr="00431609">
        <w:rPr>
          <w:rFonts w:ascii="Arial" w:hAnsi="Arial" w:cs="Arial"/>
          <w:color w:val="FF0000"/>
          <w:sz w:val="20"/>
          <w:szCs w:val="20"/>
        </w:rPr>
        <w:t xml:space="preserve"> année. Thème 1 : L’individu au travail - 121. Les régimes juridiques de l’activité professionnelle </w:t>
      </w:r>
    </w:p>
    <w:p w14:paraId="076C4583" w14:textId="77777777" w:rsidR="009A4C0E" w:rsidRPr="00431609" w:rsidRDefault="009A4C0E" w:rsidP="009A4C0E">
      <w:pPr>
        <w:pStyle w:val="Sansinterligne"/>
        <w:jc w:val="both"/>
        <w:rPr>
          <w:rFonts w:ascii="Arial" w:hAnsi="Arial" w:cs="Arial"/>
          <w:color w:val="FF0000"/>
          <w:sz w:val="20"/>
          <w:szCs w:val="20"/>
        </w:rPr>
      </w:pPr>
      <w:r w:rsidRPr="00431609">
        <w:rPr>
          <w:rFonts w:ascii="Arial" w:hAnsi="Arial" w:cs="Arial"/>
          <w:color w:val="FF0000"/>
          <w:sz w:val="20"/>
          <w:szCs w:val="20"/>
        </w:rPr>
        <w:t>DGEMC - Thème 2 .3 : Le travailleur  Thème 2.9 : Egalité et lutte contre les discriminations</w:t>
      </w:r>
    </w:p>
    <w:p w14:paraId="35E93DB3" w14:textId="77777777" w:rsidR="009A4C0E" w:rsidRPr="00F2135F" w:rsidRDefault="009A4C0E" w:rsidP="00F2135F">
      <w:pPr>
        <w:jc w:val="both"/>
        <w:rPr>
          <w:rFonts w:ascii="Arial" w:hAnsi="Arial" w:cs="Arial"/>
          <w:b/>
        </w:rPr>
      </w:pPr>
    </w:p>
    <w:p w14:paraId="040E75B1" w14:textId="2813C6D3" w:rsidR="00D85CAC" w:rsidRPr="00F2135F" w:rsidRDefault="00D85CAC" w:rsidP="00F2135F">
      <w:pPr>
        <w:jc w:val="both"/>
        <w:rPr>
          <w:rFonts w:ascii="Arial" w:hAnsi="Arial" w:cs="Times New Roman"/>
          <w:color w:val="AAAAAA"/>
        </w:rPr>
      </w:pPr>
      <w:r w:rsidRPr="00F2135F">
        <w:rPr>
          <w:rFonts w:ascii="Arial" w:hAnsi="Arial" w:cs="Arial"/>
        </w:rPr>
        <w:t>Une salariée</w:t>
      </w:r>
      <w:r w:rsidRPr="00F2135F">
        <w:rPr>
          <w:rFonts w:ascii="Arial" w:hAnsi="Arial" w:cs="Arial"/>
          <w:b/>
        </w:rPr>
        <w:t xml:space="preserve"> </w:t>
      </w:r>
      <w:r w:rsidRPr="00F2135F">
        <w:rPr>
          <w:rFonts w:ascii="Arial" w:hAnsi="Arial" w:cs="Times New Roman"/>
        </w:rPr>
        <w:t>a été embauchée comme ingénieur d’études en CDI dans une entreprise privée suite à un stage</w:t>
      </w:r>
      <w:r w:rsidR="005A1DCE" w:rsidRPr="00F2135F">
        <w:rPr>
          <w:rFonts w:ascii="Arial" w:hAnsi="Arial" w:cs="Times New Roman"/>
        </w:rPr>
        <w:t xml:space="preserve">. Elle </w:t>
      </w:r>
      <w:r w:rsidRPr="00F2135F">
        <w:rPr>
          <w:rFonts w:ascii="Arial" w:hAnsi="Arial" w:cs="Times New Roman"/>
        </w:rPr>
        <w:t>po</w:t>
      </w:r>
      <w:r w:rsidR="004E7A68">
        <w:rPr>
          <w:rFonts w:ascii="Arial" w:hAnsi="Arial" w:cs="Times New Roman"/>
        </w:rPr>
        <w:t>rte</w:t>
      </w:r>
      <w:r w:rsidR="0018636F">
        <w:rPr>
          <w:rFonts w:ascii="Arial" w:hAnsi="Arial" w:cs="Times New Roman"/>
        </w:rPr>
        <w:t xml:space="preserve"> sur son</w:t>
      </w:r>
      <w:r w:rsidR="0018636F" w:rsidRPr="00F2135F">
        <w:rPr>
          <w:rFonts w:ascii="Arial" w:hAnsi="Arial" w:cs="Times New Roman"/>
        </w:rPr>
        <w:t xml:space="preserve"> lieu de travail</w:t>
      </w:r>
      <w:r w:rsidR="0018636F">
        <w:rPr>
          <w:rFonts w:ascii="Arial" w:hAnsi="Arial" w:cs="Times New Roman"/>
        </w:rPr>
        <w:t xml:space="preserve"> le « hidjab », un foulard à la signification religieuse qui recouvre sa tête et laisse apparaitre son visage</w:t>
      </w:r>
      <w:r w:rsidRPr="00F2135F">
        <w:rPr>
          <w:rFonts w:ascii="Arial" w:hAnsi="Arial" w:cs="Times New Roman"/>
        </w:rPr>
        <w:t>. À la suite d’une plainte d’un client, l’entreprise a réaffirmé le principe de nécessaire neutralité à</w:t>
      </w:r>
      <w:r w:rsidR="004E7A68">
        <w:rPr>
          <w:rFonts w:ascii="Arial" w:hAnsi="Arial" w:cs="Times New Roman"/>
        </w:rPr>
        <w:t xml:space="preserve"> l’égard de sa clientèle et lui </w:t>
      </w:r>
      <w:r w:rsidR="0018636F">
        <w:rPr>
          <w:rFonts w:ascii="Arial" w:hAnsi="Arial" w:cs="Times New Roman"/>
        </w:rPr>
        <w:t>a demandé de ne plus porter c</w:t>
      </w:r>
      <w:r w:rsidRPr="00F2135F">
        <w:rPr>
          <w:rFonts w:ascii="Arial" w:hAnsi="Arial" w:cs="Times New Roman"/>
        </w:rPr>
        <w:t>e voile. La salariée s’y est opp</w:t>
      </w:r>
      <w:r w:rsidR="004E7A68">
        <w:rPr>
          <w:rFonts w:ascii="Arial" w:hAnsi="Arial" w:cs="Times New Roman"/>
        </w:rPr>
        <w:t>osée et a été licenciée. Elle conteste</w:t>
      </w:r>
      <w:r w:rsidRPr="00F2135F">
        <w:rPr>
          <w:rFonts w:ascii="Arial" w:hAnsi="Arial" w:cs="Times New Roman"/>
        </w:rPr>
        <w:t xml:space="preserve"> son licenci</w:t>
      </w:r>
      <w:r w:rsidR="005A1DCE" w:rsidRPr="00F2135F">
        <w:rPr>
          <w:rFonts w:ascii="Arial" w:hAnsi="Arial" w:cs="Times New Roman"/>
        </w:rPr>
        <w:t>ement</w:t>
      </w:r>
      <w:r w:rsidRPr="00F2135F">
        <w:rPr>
          <w:rFonts w:ascii="Arial" w:hAnsi="Arial" w:cs="Times New Roman"/>
        </w:rPr>
        <w:t>. La Cour de cassation  demande à la CJUE si la volonté d’un employeur de tenir compte du souhait d’un client de ne plus voir ses services fourni</w:t>
      </w:r>
      <w:r w:rsidR="004E7A68">
        <w:rPr>
          <w:rFonts w:ascii="Arial" w:hAnsi="Arial" w:cs="Times New Roman"/>
        </w:rPr>
        <w:t>s par une travailleuse qui porte</w:t>
      </w:r>
      <w:r w:rsidRPr="00F2135F">
        <w:rPr>
          <w:rFonts w:ascii="Arial" w:hAnsi="Arial" w:cs="Times New Roman"/>
        </w:rPr>
        <w:t xml:space="preserve"> un </w:t>
      </w:r>
      <w:r w:rsidR="0018636F">
        <w:rPr>
          <w:rFonts w:ascii="Arial" w:hAnsi="Arial" w:cs="Times New Roman"/>
        </w:rPr>
        <w:t xml:space="preserve">tel </w:t>
      </w:r>
      <w:r w:rsidRPr="00F2135F">
        <w:rPr>
          <w:rFonts w:ascii="Arial" w:hAnsi="Arial" w:cs="Times New Roman"/>
        </w:rPr>
        <w:t>foulard p</w:t>
      </w:r>
      <w:r w:rsidR="004E7A68">
        <w:rPr>
          <w:rFonts w:ascii="Arial" w:hAnsi="Arial" w:cs="Times New Roman"/>
        </w:rPr>
        <w:t>eut être considérée comme une «</w:t>
      </w:r>
      <w:r w:rsidRPr="00F2135F">
        <w:rPr>
          <w:rFonts w:ascii="Arial" w:hAnsi="Arial" w:cs="Times New Roman"/>
        </w:rPr>
        <w:t>exigence professionne</w:t>
      </w:r>
      <w:r w:rsidR="004E7A68">
        <w:rPr>
          <w:rFonts w:ascii="Arial" w:hAnsi="Arial" w:cs="Times New Roman"/>
        </w:rPr>
        <w:t>lle essentielle et déterminante</w:t>
      </w:r>
      <w:r w:rsidRPr="00F2135F">
        <w:rPr>
          <w:rFonts w:ascii="Arial" w:hAnsi="Arial" w:cs="Times New Roman"/>
        </w:rPr>
        <w:t>» au sens de la</w:t>
      </w:r>
      <w:r w:rsidR="004E7A68">
        <w:rPr>
          <w:rFonts w:ascii="Arial" w:hAnsi="Arial" w:cs="Times New Roman"/>
        </w:rPr>
        <w:t xml:space="preserve"> directive 2000/78/CE</w:t>
      </w:r>
      <w:r w:rsidRPr="00F2135F">
        <w:rPr>
          <w:rFonts w:ascii="Arial" w:hAnsi="Arial" w:cs="Times New Roman"/>
        </w:rPr>
        <w:t>, du 27 novembre 2000, portant création d’un cadre général en faveur de l’égalité de traitement en matière d’emploi et de travail</w:t>
      </w:r>
      <w:r w:rsidRPr="00F2135F">
        <w:rPr>
          <w:rFonts w:ascii="Arial" w:hAnsi="Arial" w:cs="Times New Roman"/>
          <w:color w:val="AAAAAA"/>
        </w:rPr>
        <w:t xml:space="preserve">. </w:t>
      </w:r>
      <w:r w:rsidR="005A1DCE" w:rsidRPr="00F2135F">
        <w:rPr>
          <w:rFonts w:ascii="Arial" w:hAnsi="Arial" w:cs="Times New Roman"/>
        </w:rPr>
        <w:t>La CJUE</w:t>
      </w:r>
      <w:r w:rsidRPr="00F2135F">
        <w:rPr>
          <w:rFonts w:ascii="Arial" w:hAnsi="Arial" w:cs="Times New Roman"/>
        </w:rPr>
        <w:t xml:space="preserve"> rappelle que ce n’est que dans des conditions très limitées qu’une caractéristique liée, notamment, à la religion peut constituer </w:t>
      </w:r>
      <w:r w:rsidR="00592B26">
        <w:rPr>
          <w:rFonts w:ascii="Arial" w:hAnsi="Arial" w:cs="Times New Roman"/>
        </w:rPr>
        <w:t>« </w:t>
      </w:r>
      <w:r w:rsidRPr="00F2135F">
        <w:rPr>
          <w:rFonts w:ascii="Arial" w:hAnsi="Arial" w:cs="Times New Roman"/>
        </w:rPr>
        <w:t>une exigence professionnelle essentielle et déterminante</w:t>
      </w:r>
      <w:r w:rsidR="00592B26">
        <w:rPr>
          <w:rFonts w:ascii="Arial" w:hAnsi="Arial" w:cs="Times New Roman"/>
        </w:rPr>
        <w:t> »</w:t>
      </w:r>
      <w:r w:rsidRPr="00F2135F">
        <w:rPr>
          <w:rFonts w:ascii="Arial" w:hAnsi="Arial" w:cs="Times New Roman"/>
        </w:rPr>
        <w:t>. En effet, cette notion ne couvre pas des considérations subjectives, telles que la volonté de l’employeur de tenir compte des souhaits particuliers du client. </w:t>
      </w:r>
    </w:p>
    <w:p w14:paraId="39C5B1B6" w14:textId="77777777" w:rsidR="00D85CAC" w:rsidRPr="00411345" w:rsidRDefault="00C34D7D" w:rsidP="00F2135F">
      <w:pPr>
        <w:jc w:val="both"/>
        <w:rPr>
          <w:rFonts w:ascii="Arial" w:hAnsi="Arial" w:cs="Times New Roman"/>
          <w:sz w:val="20"/>
          <w:szCs w:val="20"/>
        </w:rPr>
      </w:pPr>
      <w:hyperlink r:id="rId11" w:history="1">
        <w:r w:rsidR="00D85CAC" w:rsidRPr="00411345">
          <w:rPr>
            <w:rStyle w:val="Lienhypertexte"/>
            <w:rFonts w:ascii="Arial" w:hAnsi="Arial" w:cs="Times New Roman"/>
            <w:sz w:val="20"/>
            <w:szCs w:val="20"/>
          </w:rPr>
          <w:t>http://curia.europa.eu/juris/document/document.jsf?text=&amp;docid=188853&amp;pageIndex=0&amp;doclang=fr&amp;mode=lst&amp;dir=&amp;occ=first&amp;part=1&amp;cid=102923</w:t>
        </w:r>
      </w:hyperlink>
    </w:p>
    <w:p w14:paraId="703F659C" w14:textId="77777777" w:rsidR="00D85CAC" w:rsidRPr="00F2135F" w:rsidRDefault="00D85CAC" w:rsidP="00F2135F">
      <w:pPr>
        <w:jc w:val="both"/>
        <w:rPr>
          <w:rFonts w:ascii="Arial" w:eastAsia="Times New Roman" w:hAnsi="Arial" w:cs="Times New Roman"/>
          <w:color w:val="333333"/>
        </w:rPr>
      </w:pPr>
    </w:p>
    <w:p w14:paraId="4B2A1159" w14:textId="77777777" w:rsidR="00D85CAC" w:rsidRPr="009A4C0E" w:rsidRDefault="00D85CAC" w:rsidP="00F2135F">
      <w:pPr>
        <w:jc w:val="both"/>
        <w:rPr>
          <w:rFonts w:ascii="Arial" w:eastAsia="Times New Roman" w:hAnsi="Arial" w:cs="Arial"/>
          <w:color w:val="FF6600"/>
          <w:sz w:val="20"/>
          <w:szCs w:val="20"/>
        </w:rPr>
      </w:pPr>
    </w:p>
    <w:p w14:paraId="5BA7DDA1" w14:textId="1925581E" w:rsidR="00164F61" w:rsidRPr="00F2135F" w:rsidRDefault="00D3401E" w:rsidP="00F2135F">
      <w:pPr>
        <w:jc w:val="both"/>
        <w:rPr>
          <w:rFonts w:ascii="Arial" w:hAnsi="Arial" w:cs="Arial"/>
          <w:b/>
        </w:rPr>
      </w:pPr>
      <w:r>
        <w:rPr>
          <w:rFonts w:ascii="Arial" w:hAnsi="Arial" w:cs="Arial"/>
          <w:b/>
        </w:rPr>
        <w:t xml:space="preserve">- </w:t>
      </w:r>
      <w:r w:rsidR="00164F61" w:rsidRPr="00F2135F">
        <w:rPr>
          <w:rFonts w:ascii="Arial" w:hAnsi="Arial" w:cs="Arial"/>
          <w:b/>
        </w:rPr>
        <w:t>Droit de la consommation : clause abusive</w:t>
      </w:r>
    </w:p>
    <w:p w14:paraId="2B2CEFA0" w14:textId="77777777" w:rsidR="00CF0A64" w:rsidRPr="00657FE2" w:rsidRDefault="003E28F5" w:rsidP="00CF0A64">
      <w:pPr>
        <w:pStyle w:val="Sansinterligne"/>
        <w:jc w:val="both"/>
        <w:rPr>
          <w:rFonts w:ascii="Arial" w:hAnsi="Arial" w:cs="Arial"/>
          <w:color w:val="FF0000"/>
          <w:sz w:val="20"/>
          <w:szCs w:val="20"/>
          <w:u w:val="single"/>
        </w:rPr>
      </w:pPr>
      <w:r w:rsidRPr="00F2135F">
        <w:rPr>
          <w:rFonts w:ascii="Arial" w:eastAsia="Times New Roman" w:hAnsi="Arial" w:cs="Arial"/>
          <w:color w:val="000000"/>
        </w:rPr>
        <w:br/>
      </w:r>
      <w:r w:rsidR="00CF0A64" w:rsidRPr="00657FE2">
        <w:rPr>
          <w:rFonts w:ascii="Arial" w:hAnsi="Arial" w:cs="Arial"/>
          <w:color w:val="FF0000"/>
          <w:sz w:val="20"/>
          <w:szCs w:val="20"/>
          <w:u w:val="single"/>
        </w:rPr>
        <w:t xml:space="preserve">Points de programme concerné : </w:t>
      </w:r>
    </w:p>
    <w:p w14:paraId="75F19F05" w14:textId="77777777" w:rsidR="00CF0A64" w:rsidRDefault="00CF0A64" w:rsidP="00CF0A64">
      <w:pPr>
        <w:widowControl w:val="0"/>
        <w:autoSpaceDE w:val="0"/>
        <w:autoSpaceDN w:val="0"/>
        <w:adjustRightInd w:val="0"/>
        <w:spacing w:after="240" w:line="300" w:lineRule="atLeast"/>
        <w:rPr>
          <w:rFonts w:ascii="Times" w:hAnsi="Times" w:cs="Times"/>
        </w:rPr>
      </w:pPr>
      <w:r>
        <w:rPr>
          <w:rFonts w:ascii="Arial" w:hAnsi="Arial" w:cs="Arial"/>
          <w:color w:val="FF0000"/>
          <w:sz w:val="20"/>
          <w:szCs w:val="20"/>
        </w:rPr>
        <w:t>Première STMG – Thème 5</w:t>
      </w:r>
      <w:r w:rsidRPr="00431E1D">
        <w:rPr>
          <w:rFonts w:ascii="Arial" w:hAnsi="Arial" w:cs="Arial"/>
          <w:color w:val="FF0000"/>
          <w:sz w:val="20"/>
          <w:szCs w:val="20"/>
        </w:rPr>
        <w:t xml:space="preserve">. </w:t>
      </w:r>
      <w:r>
        <w:rPr>
          <w:rFonts w:ascii="Arial" w:hAnsi="Arial" w:cs="Arial"/>
          <w:color w:val="FF0000"/>
          <w:sz w:val="20"/>
          <w:szCs w:val="20"/>
        </w:rPr>
        <w:t xml:space="preserve">Quel est le rôle du contrat ? Le contrat de consommation. </w:t>
      </w:r>
    </w:p>
    <w:p w14:paraId="2A9554E8" w14:textId="423F9D22" w:rsidR="00602E67" w:rsidRPr="00602E67" w:rsidRDefault="00602E67" w:rsidP="00F2135F">
      <w:pPr>
        <w:widowControl w:val="0"/>
        <w:autoSpaceDE w:val="0"/>
        <w:autoSpaceDN w:val="0"/>
        <w:adjustRightInd w:val="0"/>
        <w:jc w:val="both"/>
        <w:rPr>
          <w:rStyle w:val="lev"/>
          <w:rFonts w:ascii="Arial" w:hAnsi="Arial" w:cs="Arial"/>
        </w:rPr>
      </w:pPr>
      <w:r w:rsidRPr="00602E67">
        <w:rPr>
          <w:rStyle w:val="lev"/>
          <w:rFonts w:ascii="Arial" w:hAnsi="Arial" w:cs="Arial"/>
        </w:rPr>
        <w:t>Cour de cassation, civile 1</w:t>
      </w:r>
      <w:r w:rsidRPr="00602E67">
        <w:rPr>
          <w:rStyle w:val="lev"/>
          <w:rFonts w:ascii="Arial" w:hAnsi="Arial" w:cs="Arial"/>
          <w:vertAlign w:val="superscript"/>
        </w:rPr>
        <w:t>ère</w:t>
      </w:r>
      <w:r w:rsidRPr="00602E67">
        <w:rPr>
          <w:rStyle w:val="lev"/>
          <w:rFonts w:ascii="Arial" w:hAnsi="Arial" w:cs="Arial"/>
        </w:rPr>
        <w:t>, 26 avril 2017.</w:t>
      </w:r>
    </w:p>
    <w:p w14:paraId="68E20A74" w14:textId="3DE71EC0" w:rsidR="00813D57" w:rsidRPr="00602E67" w:rsidRDefault="00813D57" w:rsidP="00F2135F">
      <w:pPr>
        <w:widowControl w:val="0"/>
        <w:autoSpaceDE w:val="0"/>
        <w:autoSpaceDN w:val="0"/>
        <w:adjustRightInd w:val="0"/>
        <w:jc w:val="both"/>
        <w:rPr>
          <w:rFonts w:ascii="Arial" w:hAnsi="Arial" w:cs="Arial"/>
        </w:rPr>
      </w:pPr>
      <w:r w:rsidRPr="00602E67">
        <w:rPr>
          <w:rFonts w:ascii="Arial" w:hAnsi="Arial" w:cs="Arial"/>
        </w:rPr>
        <w:t xml:space="preserve">L’association de consommateurs UFC-Que Choisir a assigné, la compagnie aérienne Air France, pour voir déclarer abusives ou illicites plusieurs clauses figurant dans les conditions générales de transport de la compagnie, ordonner leur suppression ainsi que la diffusion d’un communiqué judiciaire relatif au jugement à intervenir, pour obtenir réparation du préjudice causé à l’intérêt collectif des consommateurs. </w:t>
      </w:r>
    </w:p>
    <w:p w14:paraId="42B7F0F0" w14:textId="77777777" w:rsidR="00813D57" w:rsidRPr="00602E67" w:rsidRDefault="00813D57" w:rsidP="00F2135F">
      <w:pPr>
        <w:widowControl w:val="0"/>
        <w:autoSpaceDE w:val="0"/>
        <w:autoSpaceDN w:val="0"/>
        <w:adjustRightInd w:val="0"/>
        <w:jc w:val="both"/>
        <w:rPr>
          <w:rFonts w:ascii="Arial" w:hAnsi="Arial" w:cs="Arial"/>
          <w:bCs/>
        </w:rPr>
      </w:pPr>
      <w:r w:rsidRPr="00602E67">
        <w:rPr>
          <w:rFonts w:ascii="Arial" w:hAnsi="Arial" w:cs="Arial"/>
          <w:bCs/>
        </w:rPr>
        <w:t>La Cour de cassation déclare abusives plusieurs clauses contenues dans les conditions générales de transport de la compagnie aérienne. D’autres clauses sont validées.</w:t>
      </w:r>
    </w:p>
    <w:p w14:paraId="25A2F723" w14:textId="3BCEF3AD" w:rsidR="00813D57" w:rsidRPr="00602E67" w:rsidRDefault="00164F61" w:rsidP="00F2135F">
      <w:pPr>
        <w:widowControl w:val="0"/>
        <w:autoSpaceDE w:val="0"/>
        <w:autoSpaceDN w:val="0"/>
        <w:adjustRightInd w:val="0"/>
        <w:jc w:val="both"/>
        <w:rPr>
          <w:rFonts w:ascii="Arial" w:hAnsi="Arial" w:cs="Arial"/>
        </w:rPr>
      </w:pPr>
      <w:r w:rsidRPr="00602E67">
        <w:rPr>
          <w:rFonts w:ascii="Arial" w:hAnsi="Arial" w:cs="Arial"/>
        </w:rPr>
        <w:t>P</w:t>
      </w:r>
      <w:r w:rsidR="00CF32AB" w:rsidRPr="00602E67">
        <w:rPr>
          <w:rFonts w:ascii="Arial" w:hAnsi="Arial" w:cs="Arial"/>
        </w:rPr>
        <w:t xml:space="preserve">ar exemple </w:t>
      </w:r>
      <w:r w:rsidRPr="00602E67">
        <w:rPr>
          <w:rFonts w:ascii="Arial" w:hAnsi="Arial" w:cs="Arial"/>
        </w:rPr>
        <w:t>est déclarée abusive</w:t>
      </w:r>
      <w:r w:rsidR="00813D57" w:rsidRPr="00602E67">
        <w:rPr>
          <w:rFonts w:ascii="Arial" w:hAnsi="Arial" w:cs="Arial"/>
        </w:rPr>
        <w:t xml:space="preserve"> : </w:t>
      </w:r>
    </w:p>
    <w:p w14:paraId="6E3D59C1" w14:textId="617B5B96" w:rsidR="00D3401E" w:rsidRPr="00602E67" w:rsidRDefault="00953BD4" w:rsidP="00592B26">
      <w:pPr>
        <w:pStyle w:val="Paragraphedeliste"/>
        <w:widowControl w:val="0"/>
        <w:autoSpaceDE w:val="0"/>
        <w:autoSpaceDN w:val="0"/>
        <w:adjustRightInd w:val="0"/>
        <w:jc w:val="both"/>
        <w:rPr>
          <w:rFonts w:ascii="Arial" w:eastAsia="Times New Roman" w:hAnsi="Arial" w:cs="Times New Roman"/>
        </w:rPr>
      </w:pPr>
      <w:r w:rsidRPr="00602E67">
        <w:rPr>
          <w:rFonts w:ascii="Arial" w:eastAsia="Times New Roman" w:hAnsi="Arial" w:cs="Arial"/>
        </w:rPr>
        <w:t>L</w:t>
      </w:r>
      <w:r w:rsidR="00164F61" w:rsidRPr="00602E67">
        <w:rPr>
          <w:rFonts w:ascii="Arial" w:eastAsia="Times New Roman" w:hAnsi="Arial" w:cs="Arial"/>
        </w:rPr>
        <w:t>a clause de </w:t>
      </w:r>
      <w:r w:rsidR="008D5FDD" w:rsidRPr="00602E67">
        <w:rPr>
          <w:rFonts w:ascii="Arial" w:eastAsia="Times New Roman" w:hAnsi="Arial" w:cs="Times New Roman"/>
        </w:rPr>
        <w:t xml:space="preserve"> </w:t>
      </w:r>
      <w:r w:rsidR="00164F61" w:rsidRPr="00602E67">
        <w:rPr>
          <w:rFonts w:ascii="Arial" w:eastAsia="Times New Roman" w:hAnsi="Arial" w:cs="Times New Roman"/>
        </w:rPr>
        <w:t>« </w:t>
      </w:r>
      <w:r w:rsidR="005A1DCE" w:rsidRPr="00602E67">
        <w:rPr>
          <w:rFonts w:ascii="Arial" w:eastAsia="Times New Roman" w:hAnsi="Arial" w:cs="Times New Roman"/>
        </w:rPr>
        <w:t xml:space="preserve">facturation de </w:t>
      </w:r>
      <w:r w:rsidR="008D5FDD" w:rsidRPr="00602E67">
        <w:rPr>
          <w:rFonts w:ascii="Arial" w:eastAsia="Times New Roman" w:hAnsi="Arial" w:cs="Times New Roman"/>
        </w:rPr>
        <w:t xml:space="preserve">frais de services » </w:t>
      </w:r>
      <w:r w:rsidR="008D5FDD" w:rsidRPr="00602E67">
        <w:rPr>
          <w:rFonts w:ascii="Arial" w:eastAsia="Times New Roman" w:hAnsi="Arial" w:cs="Times New Roman"/>
          <w:i/>
        </w:rPr>
        <w:t>pour, notamment, l'émission d'un nouveau billet, dès lors qu'une telle référence, opérée sans autre précision, laisse au professionnel le pouvoir de déterminer librement les frais en cause, sans que le consommateur ait eu connaissance de règles de principe préalablement fixées et permettant leur fixation</w:t>
      </w:r>
      <w:r w:rsidR="00D3401E" w:rsidRPr="00602E67">
        <w:rPr>
          <w:rFonts w:ascii="Arial" w:eastAsia="Times New Roman" w:hAnsi="Arial" w:cs="Times New Roman"/>
          <w:i/>
        </w:rPr>
        <w:t>.</w:t>
      </w:r>
    </w:p>
    <w:p w14:paraId="251F3461" w14:textId="2E39646B" w:rsidR="00F8550B" w:rsidRPr="00602E67" w:rsidRDefault="00C34D7D" w:rsidP="00F8550B">
      <w:pPr>
        <w:widowControl w:val="0"/>
        <w:autoSpaceDE w:val="0"/>
        <w:autoSpaceDN w:val="0"/>
        <w:adjustRightInd w:val="0"/>
        <w:spacing w:after="240" w:line="300" w:lineRule="atLeast"/>
        <w:rPr>
          <w:rFonts w:ascii="Arial" w:hAnsi="Arial" w:cs="Arial"/>
          <w:bCs/>
          <w:i/>
          <w:iCs/>
          <w:sz w:val="20"/>
          <w:szCs w:val="20"/>
        </w:rPr>
      </w:pPr>
      <w:hyperlink r:id="rId12" w:history="1">
        <w:r w:rsidR="00602E67" w:rsidRPr="00602E67">
          <w:rPr>
            <w:rStyle w:val="Lienhypertexte"/>
            <w:rFonts w:ascii="Arial" w:hAnsi="Arial" w:cs="Arial"/>
            <w:bCs/>
            <w:i/>
            <w:iCs/>
            <w:sz w:val="20"/>
            <w:szCs w:val="20"/>
          </w:rPr>
          <w:t>https://www.legifrance.gouv.fr/affichJuriJudi.do?oldAction=rechJuriJudi&amp;idTexte=JURITEXT000034550147&amp;fastReqId=752117936&amp;fastPos=1</w:t>
        </w:r>
      </w:hyperlink>
    </w:p>
    <w:p w14:paraId="48B23B28" w14:textId="2B5EAF24" w:rsidR="00D3401E" w:rsidRPr="00F23EF3" w:rsidRDefault="00D3401E" w:rsidP="00F23EF3">
      <w:pPr>
        <w:widowControl w:val="0"/>
        <w:autoSpaceDE w:val="0"/>
        <w:autoSpaceDN w:val="0"/>
        <w:adjustRightInd w:val="0"/>
        <w:jc w:val="both"/>
        <w:rPr>
          <w:rFonts w:ascii="Arial" w:eastAsia="Times New Roman" w:hAnsi="Arial" w:cs="Times New Roman"/>
        </w:rPr>
      </w:pPr>
    </w:p>
    <w:p w14:paraId="1CC66045" w14:textId="78945993" w:rsidR="003203F7" w:rsidRPr="00F2135F" w:rsidRDefault="00D3401E" w:rsidP="00F2135F">
      <w:pPr>
        <w:jc w:val="both"/>
        <w:rPr>
          <w:rFonts w:ascii="Arial" w:hAnsi="Arial" w:cs="Arial"/>
          <w:b/>
        </w:rPr>
      </w:pPr>
      <w:r>
        <w:rPr>
          <w:rFonts w:ascii="Arial" w:hAnsi="Arial" w:cs="Arial"/>
          <w:b/>
        </w:rPr>
        <w:lastRenderedPageBreak/>
        <w:t xml:space="preserve">- </w:t>
      </w:r>
      <w:r w:rsidR="003203F7" w:rsidRPr="00F2135F">
        <w:rPr>
          <w:rFonts w:ascii="Arial" w:hAnsi="Arial" w:cs="Arial"/>
          <w:b/>
        </w:rPr>
        <w:t>Droit civil, droit de la personne : gest</w:t>
      </w:r>
      <w:r w:rsidR="008C1D15" w:rsidRPr="00F2135F">
        <w:rPr>
          <w:rFonts w:ascii="Arial" w:hAnsi="Arial" w:cs="Arial"/>
          <w:b/>
        </w:rPr>
        <w:t>at</w:t>
      </w:r>
      <w:r w:rsidR="003203F7" w:rsidRPr="00F2135F">
        <w:rPr>
          <w:rFonts w:ascii="Arial" w:hAnsi="Arial" w:cs="Arial"/>
          <w:b/>
        </w:rPr>
        <w:t>ion pour autrui</w:t>
      </w:r>
    </w:p>
    <w:p w14:paraId="2256EB7C" w14:textId="77777777" w:rsidR="00164F61" w:rsidRPr="00F2135F" w:rsidRDefault="00164F61" w:rsidP="00F2135F">
      <w:pPr>
        <w:jc w:val="both"/>
        <w:rPr>
          <w:rFonts w:ascii="Arial" w:eastAsia="Times New Roman" w:hAnsi="Arial" w:cs="Times New Roman"/>
        </w:rPr>
      </w:pPr>
    </w:p>
    <w:p w14:paraId="425240EE" w14:textId="77777777" w:rsidR="00CF0A64" w:rsidRPr="00265C68" w:rsidRDefault="00CF0A64" w:rsidP="00CF0A64">
      <w:pPr>
        <w:pStyle w:val="Sansinterligne"/>
        <w:jc w:val="both"/>
        <w:rPr>
          <w:rFonts w:ascii="Arial" w:hAnsi="Arial" w:cs="Arial"/>
          <w:color w:val="FF0000"/>
          <w:sz w:val="20"/>
          <w:szCs w:val="20"/>
        </w:rPr>
      </w:pPr>
      <w:r w:rsidRPr="00657FE2">
        <w:rPr>
          <w:rFonts w:ascii="Arial" w:hAnsi="Arial" w:cs="Arial"/>
          <w:color w:val="FF0000"/>
          <w:sz w:val="20"/>
          <w:szCs w:val="20"/>
          <w:u w:val="single"/>
        </w:rPr>
        <w:t xml:space="preserve">Points de programme concerné : </w:t>
      </w:r>
    </w:p>
    <w:p w14:paraId="6891D23C" w14:textId="77777777" w:rsidR="00CF0A64" w:rsidRPr="00E974F0" w:rsidRDefault="00CF0A64" w:rsidP="00CF0A64">
      <w:pPr>
        <w:pStyle w:val="Sansinterligne"/>
        <w:jc w:val="both"/>
        <w:rPr>
          <w:rFonts w:ascii="Arial" w:hAnsi="Arial" w:cs="Arial"/>
          <w:color w:val="FF0000"/>
          <w:sz w:val="20"/>
          <w:szCs w:val="20"/>
        </w:rPr>
      </w:pPr>
      <w:r>
        <w:rPr>
          <w:rFonts w:ascii="Arial" w:hAnsi="Arial" w:cs="Arial"/>
          <w:color w:val="FF0000"/>
          <w:sz w:val="20"/>
          <w:szCs w:val="20"/>
        </w:rPr>
        <w:t xml:space="preserve">DGEMC – Thème 2.1 : La personne. Thème </w:t>
      </w:r>
      <w:r w:rsidRPr="00265C68">
        <w:rPr>
          <w:rFonts w:ascii="Arial" w:hAnsi="Arial" w:cs="Arial"/>
          <w:color w:val="FF0000"/>
          <w:sz w:val="20"/>
          <w:szCs w:val="20"/>
        </w:rPr>
        <w:t>2.8 La vie, le corps, la santé</w:t>
      </w:r>
      <w:r>
        <w:rPr>
          <w:rFonts w:ascii="Arial" w:hAnsi="Arial" w:cs="Arial"/>
          <w:color w:val="FF0000"/>
          <w:sz w:val="20"/>
          <w:szCs w:val="20"/>
        </w:rPr>
        <w:t xml:space="preserve">. </w:t>
      </w:r>
      <w:r w:rsidRPr="00E974F0">
        <w:rPr>
          <w:rFonts w:ascii="Arial" w:hAnsi="Arial" w:cs="Arial"/>
          <w:color w:val="FF0000"/>
          <w:sz w:val="20"/>
          <w:szCs w:val="20"/>
        </w:rPr>
        <w:t>Thème 2.6 : l’évolution de la famille</w:t>
      </w:r>
    </w:p>
    <w:p w14:paraId="3D3B3797" w14:textId="77777777" w:rsidR="00CF0A64" w:rsidRDefault="00CF0A64" w:rsidP="00F2135F">
      <w:pPr>
        <w:jc w:val="both"/>
        <w:rPr>
          <w:rFonts w:ascii="Arial" w:eastAsia="Times New Roman" w:hAnsi="Arial" w:cs="Times New Roman"/>
        </w:rPr>
      </w:pPr>
    </w:p>
    <w:p w14:paraId="23E817FB" w14:textId="590A99C5" w:rsidR="008D5FDD" w:rsidRPr="00F2135F" w:rsidRDefault="008D5FDD" w:rsidP="00F2135F">
      <w:pPr>
        <w:jc w:val="both"/>
        <w:rPr>
          <w:rFonts w:ascii="Arial" w:hAnsi="Arial" w:cs="Verdana"/>
        </w:rPr>
      </w:pPr>
      <w:r w:rsidRPr="00F2135F">
        <w:rPr>
          <w:rFonts w:ascii="Arial" w:eastAsia="Times New Roman" w:hAnsi="Arial" w:cs="Times New Roman"/>
        </w:rPr>
        <w:t xml:space="preserve">Le 5 juillet 2017, la </w:t>
      </w:r>
      <w:r w:rsidR="008C1D15" w:rsidRPr="00F2135F">
        <w:rPr>
          <w:rFonts w:ascii="Arial" w:eastAsia="Times New Roman" w:hAnsi="Arial" w:cs="Times New Roman"/>
        </w:rPr>
        <w:t xml:space="preserve">première </w:t>
      </w:r>
      <w:r w:rsidRPr="00F2135F">
        <w:rPr>
          <w:rFonts w:ascii="Arial" w:eastAsia="Times New Roman" w:hAnsi="Arial" w:cs="Times New Roman"/>
        </w:rPr>
        <w:t>chambre civile de la Cour de cassation a re</w:t>
      </w:r>
      <w:r w:rsidR="00592B26">
        <w:rPr>
          <w:rFonts w:ascii="Arial" w:eastAsia="Times New Roman" w:hAnsi="Arial" w:cs="Times New Roman"/>
        </w:rPr>
        <w:t>ndu plusieurs arrêts sur la GPA, pratique interdite en France.</w:t>
      </w:r>
    </w:p>
    <w:p w14:paraId="19ECB028" w14:textId="2AE9FD07" w:rsidR="008D5FDD" w:rsidRPr="00F2135F" w:rsidRDefault="008D5FDD" w:rsidP="00F2135F">
      <w:pPr>
        <w:jc w:val="both"/>
        <w:rPr>
          <w:rFonts w:ascii="Arial" w:eastAsia="Times New Roman" w:hAnsi="Arial" w:cs="Times New Roman"/>
        </w:rPr>
      </w:pPr>
      <w:r w:rsidRPr="00F2135F">
        <w:rPr>
          <w:rFonts w:ascii="Arial" w:eastAsia="Times New Roman" w:hAnsi="Arial" w:cs="Times New Roman"/>
        </w:rPr>
        <w:t xml:space="preserve">Un enfant né d'une mère porteuse à l'étranger peut être adopté par le conjoint de son père biologique, mais la Cour </w:t>
      </w:r>
      <w:r w:rsidRPr="00592B26">
        <w:rPr>
          <w:rFonts w:ascii="Arial" w:eastAsia="Times New Roman" w:hAnsi="Arial" w:cs="Times New Roman"/>
          <w:u w:val="single"/>
        </w:rPr>
        <w:t>refuse la transcription automatique</w:t>
      </w:r>
      <w:r w:rsidRPr="00F2135F">
        <w:rPr>
          <w:rFonts w:ascii="Arial" w:eastAsia="Times New Roman" w:hAnsi="Arial" w:cs="Times New Roman"/>
        </w:rPr>
        <w:t xml:space="preserve"> en droit français d'actes de naissance étrangers qui donnent d'emblée pour parents à l'enfant les deux membres du couple ayant eu recours à la G</w:t>
      </w:r>
      <w:r w:rsidR="00592B26">
        <w:rPr>
          <w:rFonts w:ascii="Arial" w:eastAsia="Times New Roman" w:hAnsi="Arial" w:cs="Times New Roman"/>
        </w:rPr>
        <w:t>PA</w:t>
      </w:r>
      <w:r w:rsidRPr="00F2135F">
        <w:rPr>
          <w:rFonts w:ascii="Arial" w:eastAsia="Times New Roman" w:hAnsi="Arial" w:cs="Times New Roman"/>
        </w:rPr>
        <w:t>.</w:t>
      </w:r>
    </w:p>
    <w:p w14:paraId="282EBC4F" w14:textId="77777777" w:rsidR="008D5FDD" w:rsidRPr="00411345" w:rsidRDefault="00C34D7D" w:rsidP="00F2135F">
      <w:pPr>
        <w:jc w:val="both"/>
        <w:rPr>
          <w:rFonts w:ascii="Arial" w:hAnsi="Arial" w:cs="Times New Roman"/>
          <w:sz w:val="20"/>
          <w:szCs w:val="20"/>
        </w:rPr>
      </w:pPr>
      <w:hyperlink r:id="rId13" w:history="1">
        <w:r w:rsidR="008D5FDD" w:rsidRPr="00411345">
          <w:rPr>
            <w:rStyle w:val="Lienhypertexte"/>
            <w:rFonts w:ascii="Arial" w:hAnsi="Arial" w:cs="Times New Roman"/>
            <w:sz w:val="20"/>
            <w:szCs w:val="20"/>
          </w:rPr>
          <w:t>https://www.legifrance.gouv.fr/affichJuriJudi.do?oldAction=rechJuriJudi&amp;idTexte=JURITEXT000035145977&amp;fastReqId=1591156475&amp;fastPos=1</w:t>
        </w:r>
      </w:hyperlink>
    </w:p>
    <w:p w14:paraId="23FAEB02" w14:textId="77777777" w:rsidR="008D5FDD" w:rsidRPr="00411345" w:rsidRDefault="00C34D7D" w:rsidP="00F2135F">
      <w:pPr>
        <w:jc w:val="both"/>
        <w:rPr>
          <w:rFonts w:ascii="Times New Roman" w:hAnsi="Times New Roman" w:cs="Times New Roman"/>
          <w:sz w:val="20"/>
          <w:szCs w:val="20"/>
        </w:rPr>
      </w:pPr>
      <w:hyperlink r:id="rId14" w:history="1">
        <w:r w:rsidR="008D5FDD" w:rsidRPr="00411345">
          <w:rPr>
            <w:rStyle w:val="Lienhypertexte"/>
            <w:rFonts w:ascii="Arial" w:hAnsi="Arial" w:cs="Times New Roman"/>
            <w:sz w:val="20"/>
            <w:szCs w:val="20"/>
          </w:rPr>
          <w:t>https://www.legifrance.gouv.fr/affichJuriJudi.do?oldAction=rechJuriJudi&amp;idTexte=JURITEXT000035146641&amp;fastReqId=1402313197&amp;fastPos=2</w:t>
        </w:r>
      </w:hyperlink>
    </w:p>
    <w:p w14:paraId="6C166A11" w14:textId="77777777" w:rsidR="008D5FDD" w:rsidRPr="005B7CCD" w:rsidRDefault="008D5FDD" w:rsidP="00F2135F">
      <w:pPr>
        <w:jc w:val="both"/>
        <w:rPr>
          <w:rFonts w:ascii="Times New Roman" w:hAnsi="Times New Roman" w:cs="Times New Roman"/>
        </w:rPr>
      </w:pPr>
    </w:p>
    <w:p w14:paraId="6357D350" w14:textId="77777777" w:rsidR="003203F7" w:rsidRDefault="003203F7" w:rsidP="00F2135F">
      <w:pPr>
        <w:jc w:val="both"/>
        <w:rPr>
          <w:rFonts w:ascii="Times New Roman" w:hAnsi="Times New Roman" w:cs="Times New Roman"/>
        </w:rPr>
      </w:pPr>
    </w:p>
    <w:p w14:paraId="38D5ACB3" w14:textId="77777777" w:rsidR="00D03BC5" w:rsidRDefault="00D03BC5" w:rsidP="00083519">
      <w:pPr>
        <w:pStyle w:val="Sansinterligne"/>
        <w:jc w:val="both"/>
        <w:rPr>
          <w:rFonts w:ascii="Arial" w:hAnsi="Arial" w:cs="Arial"/>
          <w:color w:val="FF0000"/>
          <w:sz w:val="20"/>
          <w:szCs w:val="20"/>
        </w:rPr>
      </w:pPr>
    </w:p>
    <w:p w14:paraId="20428D77" w14:textId="77777777" w:rsidR="008D5FDD" w:rsidRDefault="008D5FDD"/>
    <w:sectPr w:rsidR="008D5FDD" w:rsidSect="004C4C19">
      <w:pgSz w:w="12240" w:h="15840"/>
      <w:pgMar w:top="993" w:right="1417" w:bottom="993"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4D"/>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725047"/>
    <w:multiLevelType w:val="hybridMultilevel"/>
    <w:tmpl w:val="C622C25C"/>
    <w:lvl w:ilvl="0" w:tplc="A60EDAAE">
      <w:start w:val="48"/>
      <w:numFmt w:val="bullet"/>
      <w:lvlText w:val="-"/>
      <w:lvlJc w:val="left"/>
      <w:pPr>
        <w:ind w:left="720" w:hanging="360"/>
      </w:pPr>
      <w:rPr>
        <w:rFonts w:ascii="Trebuchet MS" w:eastAsiaTheme="minorEastAsia" w:hAnsi="Trebuchet MS" w:cs="Trebuchet M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3B1D36"/>
    <w:multiLevelType w:val="hybridMultilevel"/>
    <w:tmpl w:val="BB8EBC30"/>
    <w:lvl w:ilvl="0" w:tplc="6EFC2BC6">
      <w:numFmt w:val="bullet"/>
      <w:lvlText w:val="-"/>
      <w:lvlJc w:val="left"/>
      <w:pPr>
        <w:ind w:left="720" w:hanging="360"/>
      </w:pPr>
      <w:rPr>
        <w:rFonts w:ascii="Arial" w:eastAsia="Times New Roman" w:hAnsi="Arial" w:cs="Arial" w:hint="default"/>
        <w:color w:val="000000"/>
        <w:sz w:val="19"/>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1A036E2"/>
    <w:multiLevelType w:val="hybridMultilevel"/>
    <w:tmpl w:val="3B6C0EE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8C272A6"/>
    <w:multiLevelType w:val="hybridMultilevel"/>
    <w:tmpl w:val="E6DC1DC0"/>
    <w:lvl w:ilvl="0" w:tplc="7904F37E">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4432694"/>
    <w:multiLevelType w:val="multilevel"/>
    <w:tmpl w:val="505E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4E76B1"/>
    <w:multiLevelType w:val="hybridMultilevel"/>
    <w:tmpl w:val="3B6C0EE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53"/>
    <w:rsid w:val="00041F19"/>
    <w:rsid w:val="00083519"/>
    <w:rsid w:val="000A2E03"/>
    <w:rsid w:val="00133C55"/>
    <w:rsid w:val="00154184"/>
    <w:rsid w:val="00164F61"/>
    <w:rsid w:val="0018636F"/>
    <w:rsid w:val="00186AF8"/>
    <w:rsid w:val="001A45B7"/>
    <w:rsid w:val="001B0BC1"/>
    <w:rsid w:val="001E5A9F"/>
    <w:rsid w:val="00253AC4"/>
    <w:rsid w:val="002579C6"/>
    <w:rsid w:val="002D38B0"/>
    <w:rsid w:val="0031776B"/>
    <w:rsid w:val="003203F7"/>
    <w:rsid w:val="00342204"/>
    <w:rsid w:val="003E28F5"/>
    <w:rsid w:val="003F4EB1"/>
    <w:rsid w:val="00411345"/>
    <w:rsid w:val="00431609"/>
    <w:rsid w:val="00493D5E"/>
    <w:rsid w:val="004C4C19"/>
    <w:rsid w:val="004E7A68"/>
    <w:rsid w:val="00550862"/>
    <w:rsid w:val="00592B26"/>
    <w:rsid w:val="005A1DCE"/>
    <w:rsid w:val="005E722E"/>
    <w:rsid w:val="00602E67"/>
    <w:rsid w:val="00706353"/>
    <w:rsid w:val="00717705"/>
    <w:rsid w:val="007343A8"/>
    <w:rsid w:val="0081258A"/>
    <w:rsid w:val="00813D57"/>
    <w:rsid w:val="00876010"/>
    <w:rsid w:val="008C1D15"/>
    <w:rsid w:val="008D5FDD"/>
    <w:rsid w:val="00953BD4"/>
    <w:rsid w:val="009A4C0E"/>
    <w:rsid w:val="00A812AD"/>
    <w:rsid w:val="00B954B7"/>
    <w:rsid w:val="00BC3661"/>
    <w:rsid w:val="00C34D7D"/>
    <w:rsid w:val="00C50FD9"/>
    <w:rsid w:val="00CC1FAB"/>
    <w:rsid w:val="00CF0A64"/>
    <w:rsid w:val="00CF32AB"/>
    <w:rsid w:val="00D03BC5"/>
    <w:rsid w:val="00D3401E"/>
    <w:rsid w:val="00D85CAC"/>
    <w:rsid w:val="00E464D3"/>
    <w:rsid w:val="00F2135F"/>
    <w:rsid w:val="00F23EF3"/>
    <w:rsid w:val="00F8550B"/>
    <w:rsid w:val="00FD2FE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938C25"/>
  <w14:defaultImageDpi w14:val="300"/>
  <w15:docId w15:val="{55949536-D6F3-4567-9743-F31FC5EF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5E722E"/>
    <w:pPr>
      <w:spacing w:before="100" w:beforeAutospacing="1" w:after="100" w:afterAutospacing="1"/>
      <w:outlineLvl w:val="1"/>
    </w:pPr>
    <w:rPr>
      <w:rFonts w:ascii="Times" w:hAnsi="Times"/>
      <w:b/>
      <w:bCs/>
      <w:sz w:val="36"/>
      <w:szCs w:val="36"/>
    </w:rPr>
  </w:style>
  <w:style w:type="paragraph" w:styleId="Titre3">
    <w:name w:val="heading 3"/>
    <w:basedOn w:val="Normal"/>
    <w:next w:val="Normal"/>
    <w:link w:val="Titre3Car"/>
    <w:uiPriority w:val="9"/>
    <w:unhideWhenUsed/>
    <w:qFormat/>
    <w:rsid w:val="00041F19"/>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0635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06353"/>
    <w:rPr>
      <w:rFonts w:ascii="Lucida Grande" w:hAnsi="Lucida Grande" w:cs="Lucida Grande"/>
      <w:sz w:val="18"/>
      <w:szCs w:val="18"/>
    </w:rPr>
  </w:style>
  <w:style w:type="character" w:styleId="Lienhypertexte">
    <w:name w:val="Hyperlink"/>
    <w:basedOn w:val="Policepardfaut"/>
    <w:uiPriority w:val="99"/>
    <w:unhideWhenUsed/>
    <w:rsid w:val="005E722E"/>
    <w:rPr>
      <w:color w:val="0000FF"/>
      <w:u w:val="single"/>
    </w:rPr>
  </w:style>
  <w:style w:type="paragraph" w:styleId="NormalWeb">
    <w:name w:val="Normal (Web)"/>
    <w:basedOn w:val="Normal"/>
    <w:uiPriority w:val="99"/>
    <w:unhideWhenUsed/>
    <w:rsid w:val="005E722E"/>
    <w:pPr>
      <w:spacing w:before="100" w:beforeAutospacing="1" w:after="100" w:afterAutospacing="1"/>
    </w:pPr>
    <w:rPr>
      <w:rFonts w:ascii="Times" w:hAnsi="Times" w:cs="Times New Roman"/>
      <w:sz w:val="20"/>
      <w:szCs w:val="20"/>
    </w:rPr>
  </w:style>
  <w:style w:type="character" w:customStyle="1" w:styleId="apple-converted-space">
    <w:name w:val="apple-converted-space"/>
    <w:basedOn w:val="Policepardfaut"/>
    <w:rsid w:val="005E722E"/>
  </w:style>
  <w:style w:type="character" w:customStyle="1" w:styleId="Titre2Car">
    <w:name w:val="Titre 2 Car"/>
    <w:basedOn w:val="Policepardfaut"/>
    <w:link w:val="Titre2"/>
    <w:uiPriority w:val="9"/>
    <w:rsid w:val="005E722E"/>
    <w:rPr>
      <w:rFonts w:ascii="Times" w:hAnsi="Times"/>
      <w:b/>
      <w:bCs/>
      <w:sz w:val="36"/>
      <w:szCs w:val="36"/>
    </w:rPr>
  </w:style>
  <w:style w:type="paragraph" w:customStyle="1" w:styleId="niv1">
    <w:name w:val="niv1"/>
    <w:basedOn w:val="Normal"/>
    <w:rsid w:val="005E722E"/>
    <w:pPr>
      <w:spacing w:before="100" w:beforeAutospacing="1" w:after="100" w:afterAutospacing="1"/>
    </w:pPr>
    <w:rPr>
      <w:rFonts w:ascii="Times" w:hAnsi="Times"/>
      <w:sz w:val="20"/>
      <w:szCs w:val="20"/>
    </w:rPr>
  </w:style>
  <w:style w:type="character" w:styleId="lev">
    <w:name w:val="Strong"/>
    <w:basedOn w:val="Policepardfaut"/>
    <w:uiPriority w:val="22"/>
    <w:qFormat/>
    <w:rsid w:val="00493D5E"/>
    <w:rPr>
      <w:b/>
      <w:bCs/>
    </w:rPr>
  </w:style>
  <w:style w:type="character" w:customStyle="1" w:styleId="Titre3Car">
    <w:name w:val="Titre 3 Car"/>
    <w:basedOn w:val="Policepardfaut"/>
    <w:link w:val="Titre3"/>
    <w:uiPriority w:val="9"/>
    <w:rsid w:val="00041F19"/>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1B0BC1"/>
    <w:pPr>
      <w:ind w:left="720"/>
      <w:contextualSpacing/>
    </w:pPr>
  </w:style>
  <w:style w:type="character" w:styleId="Lienhypertextesuivivisit">
    <w:name w:val="FollowedHyperlink"/>
    <w:basedOn w:val="Policepardfaut"/>
    <w:uiPriority w:val="99"/>
    <w:semiHidden/>
    <w:unhideWhenUsed/>
    <w:rsid w:val="00133C55"/>
    <w:rPr>
      <w:color w:val="800080" w:themeColor="followedHyperlink"/>
      <w:u w:val="single"/>
    </w:rPr>
  </w:style>
  <w:style w:type="character" w:customStyle="1" w:styleId="surlignage">
    <w:name w:val="surlignage"/>
    <w:basedOn w:val="Policepardfaut"/>
    <w:rsid w:val="003E28F5"/>
  </w:style>
  <w:style w:type="paragraph" w:styleId="Sansinterligne">
    <w:name w:val="No Spacing"/>
    <w:uiPriority w:val="1"/>
    <w:qFormat/>
    <w:rsid w:val="00083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07930">
      <w:bodyDiv w:val="1"/>
      <w:marLeft w:val="0"/>
      <w:marRight w:val="0"/>
      <w:marTop w:val="0"/>
      <w:marBottom w:val="0"/>
      <w:divBdr>
        <w:top w:val="none" w:sz="0" w:space="0" w:color="auto"/>
        <w:left w:val="none" w:sz="0" w:space="0" w:color="auto"/>
        <w:bottom w:val="none" w:sz="0" w:space="0" w:color="auto"/>
        <w:right w:val="none" w:sz="0" w:space="0" w:color="auto"/>
      </w:divBdr>
    </w:div>
    <w:div w:id="245922760">
      <w:bodyDiv w:val="1"/>
      <w:marLeft w:val="0"/>
      <w:marRight w:val="0"/>
      <w:marTop w:val="0"/>
      <w:marBottom w:val="0"/>
      <w:divBdr>
        <w:top w:val="none" w:sz="0" w:space="0" w:color="auto"/>
        <w:left w:val="none" w:sz="0" w:space="0" w:color="auto"/>
        <w:bottom w:val="none" w:sz="0" w:space="0" w:color="auto"/>
        <w:right w:val="none" w:sz="0" w:space="0" w:color="auto"/>
      </w:divBdr>
    </w:div>
    <w:div w:id="287974565">
      <w:bodyDiv w:val="1"/>
      <w:marLeft w:val="0"/>
      <w:marRight w:val="0"/>
      <w:marTop w:val="0"/>
      <w:marBottom w:val="0"/>
      <w:divBdr>
        <w:top w:val="none" w:sz="0" w:space="0" w:color="auto"/>
        <w:left w:val="none" w:sz="0" w:space="0" w:color="auto"/>
        <w:bottom w:val="none" w:sz="0" w:space="0" w:color="auto"/>
        <w:right w:val="none" w:sz="0" w:space="0" w:color="auto"/>
      </w:divBdr>
    </w:div>
    <w:div w:id="643512048">
      <w:bodyDiv w:val="1"/>
      <w:marLeft w:val="0"/>
      <w:marRight w:val="0"/>
      <w:marTop w:val="0"/>
      <w:marBottom w:val="0"/>
      <w:divBdr>
        <w:top w:val="none" w:sz="0" w:space="0" w:color="auto"/>
        <w:left w:val="none" w:sz="0" w:space="0" w:color="auto"/>
        <w:bottom w:val="none" w:sz="0" w:space="0" w:color="auto"/>
        <w:right w:val="none" w:sz="0" w:space="0" w:color="auto"/>
      </w:divBdr>
    </w:div>
    <w:div w:id="1036388512">
      <w:bodyDiv w:val="1"/>
      <w:marLeft w:val="0"/>
      <w:marRight w:val="0"/>
      <w:marTop w:val="0"/>
      <w:marBottom w:val="0"/>
      <w:divBdr>
        <w:top w:val="none" w:sz="0" w:space="0" w:color="auto"/>
        <w:left w:val="none" w:sz="0" w:space="0" w:color="auto"/>
        <w:bottom w:val="none" w:sz="0" w:space="0" w:color="auto"/>
        <w:right w:val="none" w:sz="0" w:space="0" w:color="auto"/>
      </w:divBdr>
    </w:div>
    <w:div w:id="1230069877">
      <w:bodyDiv w:val="1"/>
      <w:marLeft w:val="0"/>
      <w:marRight w:val="0"/>
      <w:marTop w:val="0"/>
      <w:marBottom w:val="0"/>
      <w:divBdr>
        <w:top w:val="none" w:sz="0" w:space="0" w:color="auto"/>
        <w:left w:val="none" w:sz="0" w:space="0" w:color="auto"/>
        <w:bottom w:val="none" w:sz="0" w:space="0" w:color="auto"/>
        <w:right w:val="none" w:sz="0" w:space="0" w:color="auto"/>
      </w:divBdr>
      <w:divsChild>
        <w:div w:id="445195569">
          <w:marLeft w:val="0"/>
          <w:marRight w:val="0"/>
          <w:marTop w:val="450"/>
          <w:marBottom w:val="300"/>
          <w:divBdr>
            <w:top w:val="none" w:sz="0" w:space="0" w:color="auto"/>
            <w:left w:val="none" w:sz="0" w:space="0" w:color="auto"/>
            <w:bottom w:val="none" w:sz="0" w:space="0" w:color="auto"/>
            <w:right w:val="none" w:sz="0" w:space="0" w:color="auto"/>
          </w:divBdr>
        </w:div>
        <w:div w:id="1311711292">
          <w:marLeft w:val="0"/>
          <w:marRight w:val="0"/>
          <w:marTop w:val="525"/>
          <w:marBottom w:val="525"/>
          <w:divBdr>
            <w:top w:val="none" w:sz="0" w:space="0" w:color="auto"/>
            <w:left w:val="none" w:sz="0" w:space="0" w:color="auto"/>
            <w:bottom w:val="none" w:sz="0" w:space="0" w:color="auto"/>
            <w:right w:val="none" w:sz="0" w:space="0" w:color="auto"/>
          </w:divBdr>
        </w:div>
        <w:div w:id="766656004">
          <w:marLeft w:val="0"/>
          <w:marRight w:val="0"/>
          <w:marTop w:val="525"/>
          <w:marBottom w:val="525"/>
          <w:divBdr>
            <w:top w:val="none" w:sz="0" w:space="0" w:color="auto"/>
            <w:left w:val="none" w:sz="0" w:space="0" w:color="auto"/>
            <w:bottom w:val="none" w:sz="0" w:space="0" w:color="auto"/>
            <w:right w:val="none" w:sz="0" w:space="0" w:color="auto"/>
          </w:divBdr>
        </w:div>
      </w:divsChild>
    </w:div>
    <w:div w:id="1348170467">
      <w:bodyDiv w:val="1"/>
      <w:marLeft w:val="0"/>
      <w:marRight w:val="0"/>
      <w:marTop w:val="0"/>
      <w:marBottom w:val="0"/>
      <w:divBdr>
        <w:top w:val="none" w:sz="0" w:space="0" w:color="auto"/>
        <w:left w:val="none" w:sz="0" w:space="0" w:color="auto"/>
        <w:bottom w:val="none" w:sz="0" w:space="0" w:color="auto"/>
        <w:right w:val="none" w:sz="0" w:space="0" w:color="auto"/>
      </w:divBdr>
    </w:div>
    <w:div w:id="1419209353">
      <w:bodyDiv w:val="1"/>
      <w:marLeft w:val="0"/>
      <w:marRight w:val="0"/>
      <w:marTop w:val="0"/>
      <w:marBottom w:val="0"/>
      <w:divBdr>
        <w:top w:val="none" w:sz="0" w:space="0" w:color="auto"/>
        <w:left w:val="none" w:sz="0" w:space="0" w:color="auto"/>
        <w:bottom w:val="none" w:sz="0" w:space="0" w:color="auto"/>
        <w:right w:val="none" w:sz="0" w:space="0" w:color="auto"/>
      </w:divBdr>
      <w:divsChild>
        <w:div w:id="133254819">
          <w:marLeft w:val="0"/>
          <w:marRight w:val="0"/>
          <w:marTop w:val="0"/>
          <w:marBottom w:val="0"/>
          <w:divBdr>
            <w:top w:val="none" w:sz="0" w:space="0" w:color="auto"/>
            <w:left w:val="none" w:sz="0" w:space="0" w:color="auto"/>
            <w:bottom w:val="none" w:sz="0" w:space="0" w:color="auto"/>
            <w:right w:val="none" w:sz="0" w:space="0" w:color="auto"/>
          </w:divBdr>
          <w:divsChild>
            <w:div w:id="827864772">
              <w:marLeft w:val="0"/>
              <w:marRight w:val="0"/>
              <w:marTop w:val="0"/>
              <w:marBottom w:val="0"/>
              <w:divBdr>
                <w:top w:val="none" w:sz="0" w:space="0" w:color="auto"/>
                <w:left w:val="none" w:sz="0" w:space="0" w:color="auto"/>
                <w:bottom w:val="none" w:sz="0" w:space="0" w:color="auto"/>
                <w:right w:val="none" w:sz="0" w:space="0" w:color="auto"/>
              </w:divBdr>
              <w:divsChild>
                <w:div w:id="365565858">
                  <w:marLeft w:val="0"/>
                  <w:marRight w:val="0"/>
                  <w:marTop w:val="0"/>
                  <w:marBottom w:val="0"/>
                  <w:divBdr>
                    <w:top w:val="none" w:sz="0" w:space="0" w:color="auto"/>
                    <w:left w:val="none" w:sz="0" w:space="0" w:color="auto"/>
                    <w:bottom w:val="none" w:sz="0" w:space="0" w:color="auto"/>
                    <w:right w:val="none" w:sz="0" w:space="0" w:color="auto"/>
                  </w:divBdr>
                  <w:divsChild>
                    <w:div w:id="6684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300035">
      <w:bodyDiv w:val="1"/>
      <w:marLeft w:val="0"/>
      <w:marRight w:val="0"/>
      <w:marTop w:val="0"/>
      <w:marBottom w:val="0"/>
      <w:divBdr>
        <w:top w:val="none" w:sz="0" w:space="0" w:color="auto"/>
        <w:left w:val="none" w:sz="0" w:space="0" w:color="auto"/>
        <w:bottom w:val="none" w:sz="0" w:space="0" w:color="auto"/>
        <w:right w:val="none" w:sz="0" w:space="0" w:color="auto"/>
      </w:divBdr>
      <w:divsChild>
        <w:div w:id="2074040389">
          <w:marLeft w:val="0"/>
          <w:marRight w:val="0"/>
          <w:marTop w:val="0"/>
          <w:marBottom w:val="225"/>
          <w:divBdr>
            <w:top w:val="single" w:sz="6" w:space="8" w:color="CCCCCC"/>
            <w:left w:val="single" w:sz="6" w:space="8" w:color="CCCCCC"/>
            <w:bottom w:val="single" w:sz="6" w:space="8" w:color="CCCCCC"/>
            <w:right w:val="single" w:sz="6" w:space="8" w:color="CCCCCC"/>
          </w:divBdr>
        </w:div>
        <w:div w:id="2131850250">
          <w:marLeft w:val="0"/>
          <w:marRight w:val="0"/>
          <w:marTop w:val="0"/>
          <w:marBottom w:val="0"/>
          <w:divBdr>
            <w:top w:val="none" w:sz="0" w:space="0" w:color="auto"/>
            <w:left w:val="none" w:sz="0" w:space="0" w:color="auto"/>
            <w:bottom w:val="none" w:sz="0" w:space="0" w:color="auto"/>
            <w:right w:val="none" w:sz="0" w:space="0" w:color="auto"/>
          </w:divBdr>
          <w:divsChild>
            <w:div w:id="172891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6418">
      <w:bodyDiv w:val="1"/>
      <w:marLeft w:val="0"/>
      <w:marRight w:val="0"/>
      <w:marTop w:val="0"/>
      <w:marBottom w:val="0"/>
      <w:divBdr>
        <w:top w:val="none" w:sz="0" w:space="0" w:color="auto"/>
        <w:left w:val="none" w:sz="0" w:space="0" w:color="auto"/>
        <w:bottom w:val="none" w:sz="0" w:space="0" w:color="auto"/>
        <w:right w:val="none" w:sz="0" w:space="0" w:color="auto"/>
      </w:divBdr>
    </w:div>
    <w:div w:id="1609924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jsessionid=C73C7DDBFF599E64B72CE0DED3F77ADE.tpdila19v_3?cidTexte=LEGITEXT000006071164&amp;idArticle=LEGIARTI000033459166&amp;dateTexte=20170223&amp;categorieLien=id" TargetMode="External"/><Relationship Id="rId13" Type="http://schemas.openxmlformats.org/officeDocument/2006/relationships/hyperlink" Target="https://www.legifrance.gouv.fr/affichJuriJudi.do?oldAction=rechJuriJudi&amp;idTexte=JURITEXT000035145977&amp;fastReqId=1591156475&amp;fastPos=1" TargetMode="External"/><Relationship Id="rId3" Type="http://schemas.openxmlformats.org/officeDocument/2006/relationships/styles" Target="styles.xml"/><Relationship Id="rId7" Type="http://schemas.openxmlformats.org/officeDocument/2006/relationships/hyperlink" Target="https://www.legifrance.gouv.fr/eli/loi/2016/11/18/JUSX1515639L/jo" TargetMode="External"/><Relationship Id="rId12" Type="http://schemas.openxmlformats.org/officeDocument/2006/relationships/hyperlink" Target="https://www.legifrance.gouv.fr/affichJuriJudi.do?oldAction=rechJuriJudi&amp;idTexte=JURITEXT000034550147&amp;fastReqId=752117936&amp;fastPos=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curia.europa.eu/juris/document/document.jsf?text=&amp;docid=188853&amp;pageIndex=0&amp;doclang=fr&amp;mode=lst&amp;dir=&amp;occ=first&amp;part=1&amp;cid=10292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gifrance.gouv.fr/affichJuriJudi.do?oldAction=rechJuriJudi&amp;idTexte=JURITEXT000035147608&amp;fastReqId=1462219356&amp;fastPos=1" TargetMode="External"/><Relationship Id="rId4" Type="http://schemas.openxmlformats.org/officeDocument/2006/relationships/settings" Target="settings.xml"/><Relationship Id="rId9" Type="http://schemas.openxmlformats.org/officeDocument/2006/relationships/hyperlink" Target="http://droit-finances.commentcamarche.net/contents/1506-tribunal-d-instance-role-et-competences" TargetMode="External"/><Relationship Id="rId14" Type="http://schemas.openxmlformats.org/officeDocument/2006/relationships/hyperlink" Target="https://www.legifrance.gouv.fr/affichJuriJudi.do?oldAction=rechJuriJudi&amp;idTexte=JURITEXT000035146641&amp;fastReqId=1402313197&amp;fastPos=2"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B2B6E-A46D-4700-BFC1-CA18B7A5A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1546</Words>
  <Characters>8507</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Utilisateur</cp:lastModifiedBy>
  <cp:revision>2</cp:revision>
  <dcterms:created xsi:type="dcterms:W3CDTF">2017-09-06T05:46:00Z</dcterms:created>
  <dcterms:modified xsi:type="dcterms:W3CDTF">2017-09-06T05:46:00Z</dcterms:modified>
</cp:coreProperties>
</file>