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AA3" w:rsidRPr="0075599A" w:rsidRDefault="00BF1AA3" w:rsidP="002942E7">
      <w:pPr>
        <w:jc w:val="both"/>
        <w:rPr>
          <w:b/>
        </w:rPr>
      </w:pPr>
      <w:r w:rsidRPr="0075599A">
        <w:rPr>
          <w:b/>
        </w:rPr>
        <w:t>Nombre d'unités légales</w:t>
      </w:r>
    </w:p>
    <w:p w:rsidR="0075599A" w:rsidRPr="00645FDC" w:rsidRDefault="0075599A" w:rsidP="002942E7">
      <w:pPr>
        <w:jc w:val="both"/>
        <w:rPr>
          <w:rFonts w:ascii="Verdana" w:hAnsi="Verdana"/>
          <w:color w:val="000000"/>
          <w:sz w:val="17"/>
          <w:szCs w:val="17"/>
          <w:shd w:val="clear" w:color="auto" w:fill="FFFFFF"/>
        </w:rPr>
      </w:pPr>
      <w:r>
        <w:rPr>
          <w:rFonts w:ascii="Verdana" w:hAnsi="Verdana"/>
          <w:color w:val="000000"/>
          <w:sz w:val="17"/>
          <w:szCs w:val="17"/>
          <w:shd w:val="clear" w:color="auto" w:fill="FFFFFF"/>
        </w:rPr>
        <w:t>L'unité légale est une entité juridique de droit public ou privé. Cette entité juridique peut être :</w:t>
      </w:r>
      <w:r w:rsidRPr="00645FDC">
        <w:rPr>
          <w:rFonts w:ascii="Verdana" w:hAnsi="Verdana"/>
          <w:color w:val="000000"/>
          <w:sz w:val="17"/>
          <w:szCs w:val="17"/>
          <w:shd w:val="clear" w:color="auto" w:fill="FFFFFF"/>
        </w:rPr>
        <w:br/>
      </w:r>
      <w:r>
        <w:rPr>
          <w:rFonts w:ascii="Verdana" w:hAnsi="Verdana"/>
          <w:color w:val="000000"/>
          <w:sz w:val="17"/>
          <w:szCs w:val="17"/>
          <w:shd w:val="clear" w:color="auto" w:fill="FFFFFF"/>
        </w:rPr>
        <w:t>- une</w:t>
      </w:r>
      <w:r w:rsidRPr="00645FDC">
        <w:t> </w:t>
      </w:r>
      <w:hyperlink r:id="rId5" w:history="1">
        <w:r w:rsidRPr="00645FDC">
          <w:rPr>
            <w:color w:val="000000"/>
          </w:rPr>
          <w:t>personne morale</w:t>
        </w:r>
      </w:hyperlink>
      <w:r>
        <w:rPr>
          <w:rFonts w:ascii="Verdana" w:hAnsi="Verdana"/>
          <w:color w:val="000000"/>
          <w:sz w:val="17"/>
          <w:szCs w:val="17"/>
          <w:shd w:val="clear" w:color="auto" w:fill="FFFFFF"/>
        </w:rPr>
        <w:t>, dont l'existence est reconnue par la loi indépendamment des personnes ou des institutions qui la possèdent ou qui en sont membres ;</w:t>
      </w:r>
      <w:r w:rsidRPr="00645FDC">
        <w:rPr>
          <w:rFonts w:ascii="Verdana" w:hAnsi="Verdana"/>
          <w:color w:val="000000"/>
          <w:sz w:val="17"/>
          <w:szCs w:val="17"/>
          <w:shd w:val="clear" w:color="auto" w:fill="FFFFFF"/>
        </w:rPr>
        <w:br/>
      </w:r>
      <w:r>
        <w:rPr>
          <w:rFonts w:ascii="Verdana" w:hAnsi="Verdana"/>
          <w:color w:val="000000"/>
          <w:sz w:val="17"/>
          <w:szCs w:val="17"/>
          <w:shd w:val="clear" w:color="auto" w:fill="FFFFFF"/>
        </w:rPr>
        <w:t>- une</w:t>
      </w:r>
      <w:r w:rsidRPr="00645FDC">
        <w:t> </w:t>
      </w:r>
      <w:hyperlink r:id="rId6" w:history="1">
        <w:r w:rsidRPr="00645FDC">
          <w:rPr>
            <w:color w:val="000000"/>
          </w:rPr>
          <w:t>personne physique</w:t>
        </w:r>
      </w:hyperlink>
      <w:r>
        <w:rPr>
          <w:rFonts w:ascii="Verdana" w:hAnsi="Verdana"/>
          <w:color w:val="000000"/>
          <w:sz w:val="17"/>
          <w:szCs w:val="17"/>
          <w:shd w:val="clear" w:color="auto" w:fill="FFFFFF"/>
        </w:rPr>
        <w:t>, qui, en tant qu'indépendant, peut exercer une activité économique.</w:t>
      </w:r>
      <w:r w:rsidRPr="00645FDC">
        <w:rPr>
          <w:rFonts w:ascii="Verdana" w:hAnsi="Verdana"/>
          <w:color w:val="000000"/>
          <w:sz w:val="17"/>
          <w:szCs w:val="17"/>
          <w:shd w:val="clear" w:color="auto" w:fill="FFFFFF"/>
        </w:rPr>
        <w:br/>
      </w:r>
      <w:r w:rsidRPr="00645FDC">
        <w:rPr>
          <w:rFonts w:ascii="Verdana" w:hAnsi="Verdana"/>
          <w:color w:val="000000"/>
          <w:sz w:val="17"/>
          <w:szCs w:val="17"/>
          <w:shd w:val="clear" w:color="auto" w:fill="FFFFFF"/>
        </w:rPr>
        <w:br/>
      </w:r>
      <w:r>
        <w:rPr>
          <w:rFonts w:ascii="Verdana" w:hAnsi="Verdana"/>
          <w:color w:val="000000"/>
          <w:sz w:val="17"/>
          <w:szCs w:val="17"/>
          <w:shd w:val="clear" w:color="auto" w:fill="FFFFFF"/>
        </w:rPr>
        <w:t>Elle est obligatoirement déclarée aux administrations compétentes (Greffes des tribunaux, Sécurité sociale, DGI,...) pour exister. L'existence d'une telle unité dépend du choix des propriétaires ou de ses créateurs (pour des raisons organisationnelles, juridiques ou fiscales).</w:t>
      </w:r>
      <w:r w:rsidRPr="00645FDC">
        <w:t> </w:t>
      </w:r>
    </w:p>
    <w:p w:rsidR="00BF1AA3" w:rsidRDefault="00BF1AA3" w:rsidP="002942E7">
      <w:pPr>
        <w:jc w:val="both"/>
        <w:rPr>
          <w:b/>
        </w:rPr>
      </w:pPr>
      <w:r w:rsidRPr="0075599A">
        <w:rPr>
          <w:b/>
        </w:rPr>
        <w:t>Taux d'exportation</w:t>
      </w:r>
    </w:p>
    <w:p w:rsidR="0075599A" w:rsidRPr="0075599A" w:rsidRDefault="0075599A" w:rsidP="002942E7">
      <w:pPr>
        <w:shd w:val="clear" w:color="auto" w:fill="FFFFFF"/>
        <w:spacing w:after="225" w:line="240" w:lineRule="auto"/>
        <w:jc w:val="both"/>
        <w:rPr>
          <w:rFonts w:ascii="Verdana" w:hAnsi="Verdana"/>
          <w:color w:val="000000"/>
          <w:sz w:val="17"/>
          <w:szCs w:val="17"/>
          <w:shd w:val="clear" w:color="auto" w:fill="FFFFFF"/>
        </w:rPr>
      </w:pPr>
      <w:r w:rsidRPr="0075599A">
        <w:rPr>
          <w:rFonts w:ascii="Verdana" w:hAnsi="Verdana"/>
          <w:color w:val="000000"/>
          <w:sz w:val="17"/>
          <w:szCs w:val="17"/>
          <w:shd w:val="clear" w:color="auto" w:fill="FFFFFF"/>
        </w:rPr>
        <w:t>Taux d’exportation (exportations / CAHT) : ce ratio permet d'apprécier la part des exportations dans les ventes totales. Lorsque ce ratio est élevé, une grande part de la production est exportée.</w:t>
      </w:r>
    </w:p>
    <w:p w:rsidR="00BF1AA3" w:rsidRDefault="00BF1AA3" w:rsidP="002942E7">
      <w:pPr>
        <w:jc w:val="both"/>
        <w:rPr>
          <w:b/>
        </w:rPr>
      </w:pPr>
      <w:r w:rsidRPr="0075599A">
        <w:rPr>
          <w:b/>
        </w:rPr>
        <w:t>Taux de valeur ajoutée</w:t>
      </w:r>
    </w:p>
    <w:p w:rsidR="0075599A" w:rsidRPr="0075599A" w:rsidRDefault="0075599A" w:rsidP="002942E7">
      <w:pPr>
        <w:shd w:val="clear" w:color="auto" w:fill="FFFFFF"/>
        <w:spacing w:after="225" w:line="240" w:lineRule="auto"/>
        <w:jc w:val="both"/>
        <w:rPr>
          <w:rFonts w:ascii="Verdana" w:hAnsi="Verdana"/>
          <w:color w:val="000000"/>
          <w:sz w:val="17"/>
          <w:szCs w:val="17"/>
          <w:shd w:val="clear" w:color="auto" w:fill="FFFFFF"/>
        </w:rPr>
      </w:pPr>
      <w:r w:rsidRPr="0075599A">
        <w:rPr>
          <w:rFonts w:ascii="Verdana" w:hAnsi="Verdana"/>
          <w:color w:val="000000"/>
          <w:sz w:val="17"/>
          <w:szCs w:val="17"/>
          <w:shd w:val="clear" w:color="auto" w:fill="FFFFFF"/>
        </w:rPr>
        <w:t>Taux de valeur ajoutée (VAHT / CAHT) : ce ratio est un indicateur du degré d'intégration de</w:t>
      </w:r>
      <w:r w:rsidRPr="0075599A">
        <w:rPr>
          <w:rFonts w:ascii="Verdana" w:eastAsia="Times New Roman" w:hAnsi="Verdana" w:cs="Times New Roman"/>
          <w:color w:val="000000"/>
          <w:sz w:val="18"/>
          <w:szCs w:val="18"/>
          <w:lang w:eastAsia="fr-FR"/>
        </w:rPr>
        <w:t xml:space="preserve"> </w:t>
      </w:r>
      <w:r w:rsidRPr="0075599A">
        <w:rPr>
          <w:rFonts w:ascii="Verdana" w:hAnsi="Verdana"/>
          <w:color w:val="000000"/>
          <w:sz w:val="17"/>
          <w:szCs w:val="17"/>
          <w:shd w:val="clear" w:color="auto" w:fill="FFFFFF"/>
        </w:rPr>
        <w:t>l'entreprise, c'est-à-dire de l'importance des transformations qu'elle fait subir aux produits dans la filière de fabrication. Son évolution est influencée, à intégration constante, par les différences d'évolution du prix des biens et services acquis et du prix de vente des biens produits. Structurellement, lorsque ce ratio est élevé le processus de production comporte une part importante de transformation des produits dans la filière de fabrication.</w:t>
      </w:r>
    </w:p>
    <w:p w:rsidR="00BF1AA3" w:rsidRPr="0075599A" w:rsidRDefault="00BF1AA3" w:rsidP="002942E7">
      <w:pPr>
        <w:jc w:val="both"/>
        <w:rPr>
          <w:b/>
        </w:rPr>
      </w:pPr>
      <w:r w:rsidRPr="0075599A">
        <w:rPr>
          <w:b/>
        </w:rPr>
        <w:t>Productivité apparente du travail par tête (en milliers d'euros)</w:t>
      </w:r>
    </w:p>
    <w:p w:rsidR="0075599A" w:rsidRPr="0075599A" w:rsidRDefault="0075599A" w:rsidP="002942E7">
      <w:pPr>
        <w:shd w:val="clear" w:color="auto" w:fill="FFFFFF"/>
        <w:spacing w:after="225" w:line="240" w:lineRule="auto"/>
        <w:jc w:val="both"/>
        <w:rPr>
          <w:rFonts w:ascii="Verdana" w:hAnsi="Verdana"/>
          <w:color w:val="000000"/>
          <w:sz w:val="17"/>
          <w:szCs w:val="17"/>
          <w:shd w:val="clear" w:color="auto" w:fill="FFFFFF"/>
        </w:rPr>
      </w:pPr>
      <w:r w:rsidRPr="0075599A">
        <w:rPr>
          <w:rFonts w:ascii="Verdana" w:hAnsi="Verdana"/>
          <w:color w:val="000000"/>
          <w:sz w:val="17"/>
          <w:szCs w:val="17"/>
          <w:shd w:val="clear" w:color="auto" w:fill="FFFFFF"/>
        </w:rPr>
        <w:t>Productivité apparente du travail (VAHT / effectifs) : elle ne tient compte que du seul facteur travail comme ressource mise en œuvre. Le terme "apparente" rappelle que la productivité dépend de l'ensemble des facteurs de production et de la façon dont ils sont combinés. La productivité apparente du travail est usuellement mesurée en rapportant la richesse créée au facteur travail : la richesse créée est mesurée par la valeur ajoutée (évaluée en volume) ; seul le volume de travail mis en œuvre dans le processus de production est pris en compte.</w:t>
      </w:r>
    </w:p>
    <w:p w:rsidR="00BF1AA3" w:rsidRDefault="00BF1AA3" w:rsidP="002942E7">
      <w:pPr>
        <w:jc w:val="both"/>
        <w:rPr>
          <w:b/>
        </w:rPr>
      </w:pPr>
      <w:r w:rsidRPr="0075599A">
        <w:rPr>
          <w:b/>
        </w:rPr>
        <w:t>Intensité capitalistique (en milliers d'euros)</w:t>
      </w:r>
    </w:p>
    <w:p w:rsidR="0075599A" w:rsidRPr="0075599A" w:rsidRDefault="00645FDC" w:rsidP="002942E7">
      <w:pPr>
        <w:jc w:val="both"/>
      </w:pPr>
      <w:r>
        <w:rPr>
          <w:rFonts w:ascii="Verdana" w:hAnsi="Verdana"/>
          <w:color w:val="000000"/>
          <w:sz w:val="18"/>
          <w:szCs w:val="18"/>
          <w:shd w:val="clear" w:color="auto" w:fill="FFFFFF"/>
        </w:rPr>
        <w:t>Immobilisations corporelles et incorporelles / effectif salarié.</w:t>
      </w:r>
    </w:p>
    <w:p w:rsidR="00BF1AA3" w:rsidRDefault="00BF1AA3" w:rsidP="002942E7">
      <w:pPr>
        <w:jc w:val="both"/>
        <w:rPr>
          <w:b/>
        </w:rPr>
      </w:pPr>
      <w:r w:rsidRPr="0075599A">
        <w:rPr>
          <w:b/>
        </w:rPr>
        <w:t>Part des frais de personnel</w:t>
      </w:r>
    </w:p>
    <w:p w:rsidR="00645FDC" w:rsidRPr="00592C39" w:rsidRDefault="00592C39" w:rsidP="002942E7">
      <w:pPr>
        <w:jc w:val="both"/>
        <w:rPr>
          <w:rFonts w:ascii="Verdana" w:hAnsi="Verdana"/>
          <w:color w:val="000000"/>
          <w:sz w:val="18"/>
          <w:szCs w:val="18"/>
          <w:shd w:val="clear" w:color="auto" w:fill="FFFFFF"/>
        </w:rPr>
      </w:pPr>
      <w:r w:rsidRPr="00592C39">
        <w:rPr>
          <w:rFonts w:ascii="Verdana" w:hAnsi="Verdana"/>
          <w:color w:val="000000"/>
          <w:sz w:val="18"/>
          <w:szCs w:val="18"/>
          <w:shd w:val="clear" w:color="auto" w:fill="FFFFFF"/>
        </w:rPr>
        <w:t>Frais de personne</w:t>
      </w:r>
      <w:r>
        <w:rPr>
          <w:rFonts w:ascii="Verdana" w:hAnsi="Verdana"/>
          <w:color w:val="000000"/>
          <w:sz w:val="18"/>
          <w:szCs w:val="18"/>
          <w:shd w:val="clear" w:color="auto" w:fill="FFFFFF"/>
        </w:rPr>
        <w:t>l</w:t>
      </w:r>
      <w:r w:rsidRPr="00592C39">
        <w:rPr>
          <w:rFonts w:ascii="Verdana" w:hAnsi="Verdana"/>
          <w:color w:val="000000"/>
          <w:sz w:val="18"/>
          <w:szCs w:val="18"/>
          <w:shd w:val="clear" w:color="auto" w:fill="FFFFFF"/>
        </w:rPr>
        <w:t>/valeur ajoutée.</w:t>
      </w:r>
    </w:p>
    <w:p w:rsidR="00BF1AA3" w:rsidRDefault="00BF1AA3" w:rsidP="002942E7">
      <w:pPr>
        <w:jc w:val="both"/>
        <w:rPr>
          <w:b/>
        </w:rPr>
      </w:pPr>
      <w:r w:rsidRPr="0075599A">
        <w:rPr>
          <w:b/>
        </w:rPr>
        <w:t>Taux de marge</w:t>
      </w:r>
    </w:p>
    <w:p w:rsidR="003C184B" w:rsidRPr="003C184B" w:rsidRDefault="003C184B" w:rsidP="002942E7">
      <w:pPr>
        <w:jc w:val="both"/>
        <w:rPr>
          <w:rFonts w:ascii="Verdana" w:hAnsi="Verdana"/>
          <w:color w:val="000000"/>
          <w:sz w:val="17"/>
          <w:szCs w:val="17"/>
          <w:shd w:val="clear" w:color="auto" w:fill="FFFFFF"/>
        </w:rPr>
      </w:pPr>
      <w:r w:rsidRPr="00592C39">
        <w:rPr>
          <w:rFonts w:ascii="Verdana" w:hAnsi="Verdana"/>
          <w:color w:val="000000"/>
          <w:sz w:val="17"/>
          <w:szCs w:val="17"/>
          <w:shd w:val="clear" w:color="auto" w:fill="FFFFFF"/>
        </w:rPr>
        <w:t>Taux de marge (EBE / VAHT) : </w:t>
      </w:r>
      <w:r w:rsidRPr="003C184B">
        <w:rPr>
          <w:rFonts w:ascii="Verdana" w:hAnsi="Verdana"/>
          <w:color w:val="000000"/>
          <w:sz w:val="17"/>
          <w:szCs w:val="17"/>
          <w:shd w:val="clear" w:color="auto" w:fill="FFFFFF"/>
        </w:rPr>
        <w:t>ce ratio mesure la part de la valeur ajoutée rémunérant les capitaux mis en œuvre par l’entreprise.</w:t>
      </w:r>
    </w:p>
    <w:p w:rsidR="00BF1AA3" w:rsidRDefault="00BF1AA3" w:rsidP="002942E7">
      <w:pPr>
        <w:jc w:val="both"/>
        <w:rPr>
          <w:b/>
        </w:rPr>
      </w:pPr>
      <w:r w:rsidRPr="0075599A">
        <w:rPr>
          <w:b/>
        </w:rPr>
        <w:t>Rentabilité économique</w:t>
      </w:r>
    </w:p>
    <w:p w:rsidR="003C184B" w:rsidRPr="00592C39" w:rsidRDefault="00592C39" w:rsidP="002942E7">
      <w:pPr>
        <w:jc w:val="both"/>
        <w:rPr>
          <w:rFonts w:ascii="Verdana" w:hAnsi="Verdana"/>
          <w:color w:val="000000"/>
          <w:sz w:val="17"/>
          <w:szCs w:val="17"/>
          <w:shd w:val="clear" w:color="auto" w:fill="FFFFFF"/>
        </w:rPr>
      </w:pPr>
      <w:r>
        <w:rPr>
          <w:rFonts w:ascii="Verdana" w:hAnsi="Verdana"/>
          <w:color w:val="000000"/>
          <w:sz w:val="17"/>
          <w:szCs w:val="17"/>
          <w:shd w:val="clear" w:color="auto" w:fill="FFFFFF"/>
        </w:rPr>
        <w:t>Formule :</w:t>
      </w:r>
      <w:r w:rsidRPr="00592C39">
        <w:t> </w:t>
      </w:r>
      <w:hyperlink r:id="rId7" w:history="1">
        <w:r w:rsidRPr="00592C39">
          <w:rPr>
            <w:color w:val="000000"/>
          </w:rPr>
          <w:t>EBE</w:t>
        </w:r>
      </w:hyperlink>
      <w:r w:rsidRPr="00592C39">
        <w:t> </w:t>
      </w:r>
      <w:r>
        <w:rPr>
          <w:rFonts w:ascii="Verdana" w:hAnsi="Verdana"/>
          <w:color w:val="000000"/>
          <w:sz w:val="17"/>
          <w:szCs w:val="17"/>
          <w:shd w:val="clear" w:color="auto" w:fill="FFFFFF"/>
        </w:rPr>
        <w:t>/ (immobilisations brutes corporelles et incorporelles + BFR</w:t>
      </w:r>
      <w:proofErr w:type="gramStart"/>
      <w:r>
        <w:rPr>
          <w:rFonts w:ascii="Verdana" w:hAnsi="Verdana"/>
          <w:color w:val="000000"/>
          <w:sz w:val="17"/>
          <w:szCs w:val="17"/>
          <w:shd w:val="clear" w:color="auto" w:fill="FFFFFF"/>
        </w:rPr>
        <w:t>)</w:t>
      </w:r>
      <w:proofErr w:type="gramEnd"/>
      <w:r w:rsidRPr="00592C39">
        <w:rPr>
          <w:rFonts w:ascii="Verdana" w:hAnsi="Verdana"/>
          <w:color w:val="000000"/>
          <w:sz w:val="17"/>
          <w:szCs w:val="17"/>
          <w:shd w:val="clear" w:color="auto" w:fill="FFFFFF"/>
        </w:rPr>
        <w:br/>
      </w:r>
      <w:r w:rsidRPr="00592C39">
        <w:rPr>
          <w:rFonts w:ascii="Verdana" w:hAnsi="Verdana"/>
          <w:color w:val="000000"/>
          <w:sz w:val="17"/>
          <w:szCs w:val="17"/>
          <w:shd w:val="clear" w:color="auto" w:fill="FFFFFF"/>
        </w:rPr>
        <w:br/>
      </w:r>
      <w:r>
        <w:rPr>
          <w:rFonts w:ascii="Verdana" w:hAnsi="Verdana"/>
          <w:color w:val="000000"/>
          <w:sz w:val="17"/>
          <w:szCs w:val="17"/>
          <w:shd w:val="clear" w:color="auto" w:fill="FFFFFF"/>
        </w:rPr>
        <w:t>La rentabilité économique se mesure en rapportant l’Excédent Brut d’Exploitation à la somme des immobilisations brutes corporelles et incorporelles et du Besoin de Fonds de Roulement. La somme au dénominateur est appelée « actif économique » ou « capital économique » : elle représente en effet les moyens engagés par l'</w:t>
      </w:r>
      <w:hyperlink r:id="rId8" w:history="1">
        <w:r w:rsidRPr="00592C39">
          <w:rPr>
            <w:color w:val="000000"/>
          </w:rPr>
          <w:t>entreprise</w:t>
        </w:r>
      </w:hyperlink>
      <w:r w:rsidRPr="00592C39">
        <w:t> </w:t>
      </w:r>
      <w:r>
        <w:rPr>
          <w:rFonts w:ascii="Verdana" w:hAnsi="Verdana"/>
          <w:color w:val="000000"/>
          <w:sz w:val="17"/>
          <w:szCs w:val="17"/>
          <w:shd w:val="clear" w:color="auto" w:fill="FFFFFF"/>
        </w:rPr>
        <w:t>dans les cycles d'exploitation et d'investissement, autrement dit ce dont l’entreprise a besoin pour tourner. Ce taux n'est pas affecté par la structure financière de l'entreprise. Il mesure donc la rentabilité d'exploitation (activité) de l'entreprise indépendamment de son mode de financement.</w:t>
      </w:r>
    </w:p>
    <w:p w:rsidR="00BF1AA3" w:rsidRDefault="00BF1AA3" w:rsidP="002942E7">
      <w:pPr>
        <w:jc w:val="both"/>
        <w:rPr>
          <w:b/>
        </w:rPr>
      </w:pPr>
      <w:r w:rsidRPr="0075599A">
        <w:rPr>
          <w:b/>
        </w:rPr>
        <w:lastRenderedPageBreak/>
        <w:t>Rentabilité financière</w:t>
      </w:r>
    </w:p>
    <w:p w:rsidR="00592C39" w:rsidRPr="00592C39" w:rsidRDefault="00592C39" w:rsidP="002942E7">
      <w:pPr>
        <w:jc w:val="both"/>
        <w:rPr>
          <w:rFonts w:ascii="Verdana" w:hAnsi="Verdana"/>
          <w:color w:val="000000"/>
          <w:sz w:val="17"/>
          <w:szCs w:val="17"/>
          <w:shd w:val="clear" w:color="auto" w:fill="FFFFFF"/>
        </w:rPr>
      </w:pPr>
      <w:r>
        <w:rPr>
          <w:rFonts w:ascii="Verdana" w:hAnsi="Verdana"/>
          <w:color w:val="000000"/>
          <w:sz w:val="17"/>
          <w:szCs w:val="17"/>
          <w:shd w:val="clear" w:color="auto" w:fill="FFFFFF"/>
        </w:rPr>
        <w:t xml:space="preserve">La rentabilité financière mesure la capacité des capitaux investis par les actionnaires et associés (capitaux propres) à dégager un certain niveau de profit. Ce ratio correspond à ce que la comptabilité anglo-saxonne appelle le « Return on </w:t>
      </w:r>
      <w:proofErr w:type="spellStart"/>
      <w:r>
        <w:rPr>
          <w:rFonts w:ascii="Verdana" w:hAnsi="Verdana"/>
          <w:color w:val="000000"/>
          <w:sz w:val="17"/>
          <w:szCs w:val="17"/>
          <w:shd w:val="clear" w:color="auto" w:fill="FFFFFF"/>
        </w:rPr>
        <w:t>equity</w:t>
      </w:r>
      <w:proofErr w:type="spellEnd"/>
      <w:r>
        <w:rPr>
          <w:rFonts w:ascii="Verdana" w:hAnsi="Verdana"/>
          <w:color w:val="000000"/>
          <w:sz w:val="17"/>
          <w:szCs w:val="17"/>
          <w:shd w:val="clear" w:color="auto" w:fill="FFFFFF"/>
        </w:rPr>
        <w:t xml:space="preserve"> » ou encore « ROE ».</w:t>
      </w:r>
      <w:r w:rsidRPr="00592C39">
        <w:rPr>
          <w:rFonts w:ascii="Verdana" w:hAnsi="Verdana"/>
          <w:color w:val="000000"/>
          <w:sz w:val="17"/>
          <w:szCs w:val="17"/>
          <w:shd w:val="clear" w:color="auto" w:fill="FFFFFF"/>
        </w:rPr>
        <w:br/>
      </w:r>
      <w:r>
        <w:rPr>
          <w:rFonts w:ascii="Verdana" w:hAnsi="Verdana"/>
          <w:color w:val="000000"/>
          <w:sz w:val="17"/>
          <w:szCs w:val="17"/>
          <w:shd w:val="clear" w:color="auto" w:fill="FFFFFF"/>
        </w:rPr>
        <w:t>La rentabilité financière nette est égale à la capacité d'autofinancement nette (capacité d'autofinancement - charges de maintien du potentiel de production destinées au renouvellement de l'outil productif et à la couverture des risques d'exploitation) rapportée aux capitaux propres (capital social + primes d'émission, de fusion, d'apport, etc. + écarts de réévaluation + réserve légale + réserves statutaires ou contractuelles + réserves réglementées + autres réserves + report à nouveau + résultat de l'exercice +</w:t>
      </w:r>
      <w:r w:rsidRPr="00592C39">
        <w:t> </w:t>
      </w:r>
      <w:hyperlink r:id="rId9" w:history="1">
        <w:r w:rsidRPr="00592C39">
          <w:rPr>
            <w:color w:val="000000"/>
          </w:rPr>
          <w:t>subventions</w:t>
        </w:r>
      </w:hyperlink>
      <w:r w:rsidRPr="00592C39">
        <w:t> </w:t>
      </w:r>
      <w:r>
        <w:rPr>
          <w:rFonts w:ascii="Verdana" w:hAnsi="Verdana"/>
          <w:color w:val="000000"/>
          <w:sz w:val="17"/>
          <w:szCs w:val="17"/>
          <w:shd w:val="clear" w:color="auto" w:fill="FFFFFF"/>
        </w:rPr>
        <w:t>d'investissement + provisions réglementées).</w:t>
      </w:r>
      <w:r w:rsidRPr="00592C39">
        <w:rPr>
          <w:rFonts w:ascii="Verdana" w:hAnsi="Verdana"/>
          <w:color w:val="000000"/>
          <w:sz w:val="17"/>
          <w:szCs w:val="17"/>
          <w:shd w:val="clear" w:color="auto" w:fill="FFFFFF"/>
        </w:rPr>
        <w:br/>
      </w:r>
      <w:r>
        <w:rPr>
          <w:rFonts w:ascii="Verdana" w:hAnsi="Verdana"/>
          <w:color w:val="000000"/>
          <w:sz w:val="17"/>
          <w:szCs w:val="17"/>
          <w:shd w:val="clear" w:color="auto" w:fill="FFFFFF"/>
        </w:rPr>
        <w:t>La rentabilité financière est un ratio destiné aux seuls actionnaires, alors que la rentabilité économique s'intéresse aux performances de l'</w:t>
      </w:r>
      <w:hyperlink r:id="rId10" w:history="1">
        <w:r w:rsidRPr="00592C39">
          <w:rPr>
            <w:color w:val="000000"/>
          </w:rPr>
          <w:t>entreprise.</w:t>
        </w:r>
      </w:hyperlink>
    </w:p>
    <w:p w:rsidR="00BF1AA3" w:rsidRDefault="00BF1AA3" w:rsidP="002942E7">
      <w:pPr>
        <w:jc w:val="both"/>
        <w:rPr>
          <w:b/>
        </w:rPr>
      </w:pPr>
      <w:r w:rsidRPr="0075599A">
        <w:rPr>
          <w:b/>
        </w:rPr>
        <w:t>Levier financier</w:t>
      </w:r>
    </w:p>
    <w:p w:rsidR="00592C39"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Rapport entre les apports extérieurs et stables et les apports internes -Le ratio de levier se calcule en rapportant les emprunts et dettes assimilées sur les capitaux propres et les autres fonds propres.</w:t>
      </w:r>
    </w:p>
    <w:p w:rsidR="00BF1AA3" w:rsidRDefault="00BF1AA3" w:rsidP="002942E7">
      <w:pPr>
        <w:jc w:val="both"/>
        <w:rPr>
          <w:b/>
        </w:rPr>
      </w:pPr>
      <w:r w:rsidRPr="0075599A">
        <w:rPr>
          <w:b/>
        </w:rPr>
        <w:t>Taux de prélèvement financier</w:t>
      </w:r>
    </w:p>
    <w:p w:rsidR="009548DC"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 xml:space="preserve">Taux mesurant le poids de l'endettement de la société - Calcul : Intérêts et charges assimilés/Excédent brut d'exploitation. </w:t>
      </w:r>
    </w:p>
    <w:p w:rsidR="00BF1AA3" w:rsidRPr="0075599A" w:rsidRDefault="00BF1AA3" w:rsidP="002942E7">
      <w:pPr>
        <w:jc w:val="both"/>
        <w:rPr>
          <w:b/>
        </w:rPr>
      </w:pPr>
      <w:r w:rsidRPr="0075599A">
        <w:rPr>
          <w:b/>
        </w:rPr>
        <w:t>Délais de paiement des fournisseurs (en jours)</w:t>
      </w:r>
    </w:p>
    <w:p w:rsidR="009548DC"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Ce ratio moyen se définit comme le rapport entre le total des dettes fournisseurs sur l’ensemble du secteur (y compris comptes rattachés), et le total des achats et charges externes annuels TTC divisé par 360, pour être exprimé en jours d’achats. DPF moyen = Total dettes fournisseurs / (Total achats et charges externes TTC / 360)</w:t>
      </w:r>
    </w:p>
    <w:p w:rsidR="00BF1AA3" w:rsidRDefault="00BF1AA3" w:rsidP="002942E7">
      <w:pPr>
        <w:jc w:val="both"/>
        <w:rPr>
          <w:b/>
        </w:rPr>
      </w:pPr>
      <w:r w:rsidRPr="0075599A">
        <w:rPr>
          <w:b/>
        </w:rPr>
        <w:t>Délais de paiement des clients (sous réserves) en jours</w:t>
      </w:r>
    </w:p>
    <w:p w:rsidR="009548DC"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Ce ratio moyen se définit comme le rapport entre le total des créances clients sur l’ensemble du secteur (y compris comptes rattachés et effets escomptés non échus), et le total des chiffres d’affaires annuels TTC divisé par 360, pour être exprimé en jours de chiffre d’affaires. DPC moyen = Total créances clients / (Total CATTC / 360)</w:t>
      </w:r>
    </w:p>
    <w:p w:rsidR="00BF1AA3" w:rsidRDefault="00BF1AA3" w:rsidP="002942E7">
      <w:pPr>
        <w:jc w:val="both"/>
        <w:rPr>
          <w:b/>
        </w:rPr>
      </w:pPr>
      <w:r w:rsidRPr="0075599A">
        <w:rPr>
          <w:b/>
        </w:rPr>
        <w:t>Taux d'investissement</w:t>
      </w:r>
    </w:p>
    <w:p w:rsidR="009548DC" w:rsidRDefault="009548DC" w:rsidP="002942E7">
      <w:pPr>
        <w:jc w:val="both"/>
      </w:pPr>
      <w:r>
        <w:t>Part de la valeur ajoutée consacré à l'investissement corporel (hors apports reçus des autres sociétés)/Valeur ajoutée hors taxes.</w:t>
      </w:r>
    </w:p>
    <w:p w:rsidR="00B42E47" w:rsidRDefault="00BF1AA3" w:rsidP="002942E7">
      <w:pPr>
        <w:jc w:val="both"/>
        <w:rPr>
          <w:b/>
        </w:rPr>
      </w:pPr>
      <w:r w:rsidRPr="0075599A">
        <w:rPr>
          <w:b/>
        </w:rPr>
        <w:t>Taux d'autofinancement</w:t>
      </w:r>
    </w:p>
    <w:p w:rsidR="009548DC" w:rsidRDefault="009548DC" w:rsidP="002942E7">
      <w:pPr>
        <w:jc w:val="both"/>
        <w:rPr>
          <w:rFonts w:ascii="Verdana" w:hAnsi="Verdana"/>
          <w:color w:val="000000"/>
          <w:sz w:val="17"/>
          <w:szCs w:val="17"/>
          <w:shd w:val="clear" w:color="auto" w:fill="FFFFFF"/>
        </w:rPr>
      </w:pPr>
      <w:r>
        <w:rPr>
          <w:rFonts w:ascii="Verdana" w:hAnsi="Verdana"/>
          <w:color w:val="000000"/>
          <w:sz w:val="17"/>
          <w:szCs w:val="17"/>
          <w:shd w:val="clear" w:color="auto" w:fill="FFFFFF"/>
        </w:rPr>
        <w:t>Rapport de l'épargne brute à la</w:t>
      </w:r>
      <w:r w:rsidRPr="009548DC">
        <w:t> </w:t>
      </w:r>
      <w:hyperlink r:id="rId11" w:history="1">
        <w:r w:rsidRPr="009548DC">
          <w:rPr>
            <w:color w:val="000000"/>
          </w:rPr>
          <w:t>formation brute de capital fixe (FBCF)</w:t>
        </w:r>
      </w:hyperlink>
      <w:r>
        <w:rPr>
          <w:rFonts w:ascii="Verdana" w:hAnsi="Verdana"/>
          <w:color w:val="000000"/>
          <w:sz w:val="17"/>
          <w:szCs w:val="17"/>
          <w:shd w:val="clear" w:color="auto" w:fill="FFFFFF"/>
        </w:rPr>
        <w:t>.</w:t>
      </w:r>
    </w:p>
    <w:p w:rsidR="009548DC" w:rsidRPr="009548DC" w:rsidRDefault="009548DC" w:rsidP="002942E7">
      <w:pPr>
        <w:jc w:val="both"/>
        <w:rPr>
          <w:rFonts w:ascii="Verdana" w:hAnsi="Verdana"/>
          <w:color w:val="000000"/>
          <w:sz w:val="17"/>
          <w:szCs w:val="17"/>
          <w:shd w:val="clear" w:color="auto" w:fill="FFFFFF"/>
        </w:rPr>
      </w:pPr>
      <w:r>
        <w:rPr>
          <w:rFonts w:ascii="Verdana" w:hAnsi="Verdana"/>
          <w:color w:val="000000"/>
          <w:sz w:val="17"/>
          <w:szCs w:val="17"/>
          <w:shd w:val="clear" w:color="auto" w:fill="FFFFFF"/>
        </w:rPr>
        <w:t>La formation brute de capital fixe (FBCF) est constituée par les acquisitions moins cessions d'actifs fixes réalisées par les producteurs résidents.</w:t>
      </w:r>
      <w:r w:rsidRPr="009548DC">
        <w:rPr>
          <w:rFonts w:ascii="Verdana" w:hAnsi="Verdana"/>
          <w:color w:val="000000"/>
          <w:sz w:val="17"/>
          <w:szCs w:val="17"/>
          <w:shd w:val="clear" w:color="auto" w:fill="FFFFFF"/>
        </w:rPr>
        <w:br/>
      </w:r>
      <w:r>
        <w:rPr>
          <w:rFonts w:ascii="Verdana" w:hAnsi="Verdana"/>
          <w:color w:val="000000"/>
          <w:sz w:val="17"/>
          <w:szCs w:val="17"/>
          <w:shd w:val="clear" w:color="auto" w:fill="FFFFFF"/>
        </w:rPr>
        <w:t>Les actifs fixes sont les actifs corporels ou incorporels issus de processus de production et utilisés de façon répétée ou continue dans d'autres processus de production pendant au moins un an.</w:t>
      </w:r>
    </w:p>
    <w:p w:rsidR="00BF1AA3" w:rsidRDefault="00BF1AA3" w:rsidP="002942E7">
      <w:pPr>
        <w:jc w:val="both"/>
        <w:rPr>
          <w:b/>
        </w:rPr>
      </w:pPr>
      <w:r w:rsidRPr="0075599A">
        <w:rPr>
          <w:b/>
        </w:rPr>
        <w:t xml:space="preserve">Effectifs salariés en </w:t>
      </w:r>
      <w:proofErr w:type="spellStart"/>
      <w:r w:rsidRPr="0075599A">
        <w:rPr>
          <w:b/>
        </w:rPr>
        <w:t>equivalent</w:t>
      </w:r>
      <w:proofErr w:type="spellEnd"/>
      <w:r w:rsidRPr="0075599A">
        <w:rPr>
          <w:b/>
        </w:rPr>
        <w:t xml:space="preserve"> temps plein</w:t>
      </w:r>
    </w:p>
    <w:p w:rsidR="009548DC" w:rsidRPr="0075599A" w:rsidRDefault="009548DC" w:rsidP="002942E7">
      <w:pPr>
        <w:jc w:val="both"/>
        <w:rPr>
          <w:b/>
        </w:rPr>
      </w:pPr>
      <w:r>
        <w:rPr>
          <w:rFonts w:ascii="Verdana" w:hAnsi="Verdana"/>
          <w:color w:val="000000"/>
          <w:sz w:val="17"/>
          <w:szCs w:val="17"/>
          <w:shd w:val="clear" w:color="auto" w:fill="FFFFFF"/>
        </w:rPr>
        <w:t>Le</w:t>
      </w:r>
      <w:r>
        <w:rPr>
          <w:rStyle w:val="apple-converted-space"/>
          <w:rFonts w:ascii="Verdana" w:hAnsi="Verdana"/>
          <w:color w:val="000000"/>
          <w:sz w:val="17"/>
          <w:szCs w:val="17"/>
          <w:shd w:val="clear" w:color="auto" w:fill="FFFFFF"/>
        </w:rPr>
        <w:t> </w:t>
      </w:r>
      <w:hyperlink r:id="rId12" w:history="1">
        <w:r>
          <w:rPr>
            <w:rStyle w:val="Lienhypertexte"/>
            <w:rFonts w:ascii="Verdana" w:hAnsi="Verdana"/>
            <w:b/>
            <w:bCs/>
            <w:color w:val="0257B2"/>
            <w:sz w:val="17"/>
            <w:szCs w:val="17"/>
            <w:u w:val="none"/>
            <w:shd w:val="clear" w:color="auto" w:fill="FFFFFF"/>
          </w:rPr>
          <w:t>salaire</w:t>
        </w:r>
      </w:hyperlink>
      <w:r>
        <w:rPr>
          <w:rStyle w:val="apple-converted-space"/>
          <w:rFonts w:ascii="Verdana" w:hAnsi="Verdana"/>
          <w:color w:val="000000"/>
          <w:sz w:val="17"/>
          <w:szCs w:val="17"/>
          <w:shd w:val="clear" w:color="auto" w:fill="FFFFFF"/>
        </w:rPr>
        <w:t> </w:t>
      </w:r>
      <w:r>
        <w:rPr>
          <w:rFonts w:ascii="Verdana" w:hAnsi="Verdana"/>
          <w:color w:val="000000"/>
          <w:sz w:val="17"/>
          <w:szCs w:val="17"/>
          <w:shd w:val="clear" w:color="auto" w:fill="FFFFFF"/>
        </w:rPr>
        <w:t>moyen en équivalent temps plein est calculé en prenant en compte tous les postes de travail des salariés (y compris les postes à</w:t>
      </w:r>
      <w:r>
        <w:rPr>
          <w:rStyle w:val="apple-converted-space"/>
          <w:rFonts w:ascii="Verdana" w:hAnsi="Verdana"/>
          <w:color w:val="000000"/>
          <w:sz w:val="17"/>
          <w:szCs w:val="17"/>
          <w:shd w:val="clear" w:color="auto" w:fill="FFFFFF"/>
        </w:rPr>
        <w:t> </w:t>
      </w:r>
      <w:hyperlink r:id="rId13" w:history="1">
        <w:r>
          <w:rPr>
            <w:rStyle w:val="Lienhypertexte"/>
            <w:rFonts w:ascii="Verdana" w:hAnsi="Verdana"/>
            <w:b/>
            <w:bCs/>
            <w:color w:val="0257B2"/>
            <w:sz w:val="17"/>
            <w:szCs w:val="17"/>
            <w:u w:val="none"/>
            <w:shd w:val="clear" w:color="auto" w:fill="FFFFFF"/>
          </w:rPr>
          <w:t>temps partiel</w:t>
        </w:r>
      </w:hyperlink>
      <w:r>
        <w:rPr>
          <w:rFonts w:ascii="Verdana" w:hAnsi="Verdana"/>
          <w:color w:val="000000"/>
          <w:sz w:val="17"/>
          <w:szCs w:val="17"/>
          <w:shd w:val="clear" w:color="auto" w:fill="FFFFFF"/>
        </w:rPr>
        <w:t>). Chaque</w:t>
      </w:r>
      <w:r>
        <w:rPr>
          <w:rStyle w:val="apple-converted-space"/>
          <w:rFonts w:ascii="Verdana" w:hAnsi="Verdana"/>
          <w:color w:val="000000"/>
          <w:sz w:val="17"/>
          <w:szCs w:val="17"/>
          <w:shd w:val="clear" w:color="auto" w:fill="FFFFFF"/>
        </w:rPr>
        <w:t> </w:t>
      </w:r>
      <w:hyperlink r:id="rId14" w:history="1">
        <w:r>
          <w:rPr>
            <w:rStyle w:val="Lienhypertexte"/>
            <w:rFonts w:ascii="Verdana" w:hAnsi="Verdana"/>
            <w:b/>
            <w:bCs/>
            <w:color w:val="0257B2"/>
            <w:sz w:val="17"/>
            <w:szCs w:val="17"/>
            <w:u w:val="none"/>
            <w:shd w:val="clear" w:color="auto" w:fill="FFFFFF"/>
          </w:rPr>
          <w:t>poste de travail</w:t>
        </w:r>
      </w:hyperlink>
      <w:r>
        <w:rPr>
          <w:rStyle w:val="apple-converted-space"/>
          <w:rFonts w:ascii="Verdana" w:hAnsi="Verdana"/>
          <w:color w:val="000000"/>
          <w:sz w:val="17"/>
          <w:szCs w:val="17"/>
          <w:shd w:val="clear" w:color="auto" w:fill="FFFFFF"/>
        </w:rPr>
        <w:t> </w:t>
      </w:r>
      <w:r>
        <w:rPr>
          <w:rFonts w:ascii="Verdana" w:hAnsi="Verdana"/>
          <w:color w:val="000000"/>
          <w:sz w:val="17"/>
          <w:szCs w:val="17"/>
          <w:shd w:val="clear" w:color="auto" w:fill="FFFFFF"/>
        </w:rPr>
        <w:t xml:space="preserve">est pris en compte au prorata de son volume horaire de travail rapporté à celui d'un poste à temps complet. Par exemple, un </w:t>
      </w:r>
      <w:r>
        <w:rPr>
          <w:rFonts w:ascii="Verdana" w:hAnsi="Verdana"/>
          <w:color w:val="000000"/>
          <w:sz w:val="17"/>
          <w:szCs w:val="17"/>
          <w:shd w:val="clear" w:color="auto" w:fill="FFFFFF"/>
        </w:rPr>
        <w:lastRenderedPageBreak/>
        <w:t>poste à mi-temps durant 12 mois pour un salaire total de 10 000 euros compte pour 0,5 « année- travail » rémunérée 5 000 euros. Le même poste d'une durée de 6 mois aura un poids de 0,25 rémunéré 2 500 euros.</w:t>
      </w:r>
    </w:p>
    <w:p w:rsidR="00BF1AA3" w:rsidRDefault="00BF1AA3" w:rsidP="002942E7">
      <w:pPr>
        <w:jc w:val="both"/>
        <w:rPr>
          <w:b/>
        </w:rPr>
      </w:pPr>
      <w:r w:rsidRPr="0075599A">
        <w:rPr>
          <w:b/>
        </w:rPr>
        <w:t>Effectifs salariés au 31 décembre</w:t>
      </w:r>
    </w:p>
    <w:p w:rsidR="009548DC"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Effectif salarié total inscrit dans l'entreprise au 31/12.</w:t>
      </w:r>
    </w:p>
    <w:p w:rsidR="00BF1AA3" w:rsidRDefault="00BF1AA3" w:rsidP="002942E7">
      <w:pPr>
        <w:jc w:val="both"/>
        <w:rPr>
          <w:b/>
        </w:rPr>
      </w:pPr>
      <w:r w:rsidRPr="0075599A">
        <w:rPr>
          <w:b/>
        </w:rPr>
        <w:t>Effectifs occupés</w:t>
      </w:r>
    </w:p>
    <w:p w:rsidR="009548DC" w:rsidRPr="009548DC" w:rsidRDefault="009548DC" w:rsidP="002942E7">
      <w:pPr>
        <w:jc w:val="both"/>
        <w:rPr>
          <w:rFonts w:ascii="Verdana" w:hAnsi="Verdana"/>
          <w:color w:val="000000"/>
          <w:sz w:val="17"/>
          <w:szCs w:val="17"/>
          <w:shd w:val="clear" w:color="auto" w:fill="FFFFFF"/>
        </w:rPr>
      </w:pPr>
      <w:r w:rsidRPr="009548DC">
        <w:rPr>
          <w:rFonts w:ascii="Verdana" w:hAnsi="Verdana"/>
          <w:color w:val="000000"/>
          <w:sz w:val="17"/>
          <w:szCs w:val="17"/>
          <w:shd w:val="clear" w:color="auto" w:fill="FFFFFF"/>
        </w:rPr>
        <w:t>C 'est la moyenne des effectifs salariés en fin de chaque trimestre + personnel non salarié en équivalent temps plein sur l'année.</w:t>
      </w:r>
    </w:p>
    <w:sectPr w:rsidR="009548DC" w:rsidRPr="009548DC" w:rsidSect="00B42E4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04BB"/>
    <w:multiLevelType w:val="multilevel"/>
    <w:tmpl w:val="5622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EC6D56"/>
    <w:multiLevelType w:val="multilevel"/>
    <w:tmpl w:val="84C2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25005F"/>
    <w:multiLevelType w:val="multilevel"/>
    <w:tmpl w:val="3B5C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42AA"/>
    <w:rsid w:val="001142AA"/>
    <w:rsid w:val="002942E7"/>
    <w:rsid w:val="003C184B"/>
    <w:rsid w:val="00592C39"/>
    <w:rsid w:val="00645FDC"/>
    <w:rsid w:val="0075599A"/>
    <w:rsid w:val="009548DC"/>
    <w:rsid w:val="00B42E47"/>
    <w:rsid w:val="00BF1AA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E4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5599A"/>
  </w:style>
  <w:style w:type="character" w:styleId="Lienhypertexte">
    <w:name w:val="Hyperlink"/>
    <w:basedOn w:val="Policepardfaut"/>
    <w:uiPriority w:val="99"/>
    <w:semiHidden/>
    <w:unhideWhenUsed/>
    <w:rsid w:val="0075599A"/>
    <w:rPr>
      <w:color w:val="0000FF"/>
      <w:u w:val="single"/>
    </w:rPr>
  </w:style>
  <w:style w:type="character" w:styleId="lev">
    <w:name w:val="Strong"/>
    <w:basedOn w:val="Policepardfaut"/>
    <w:uiPriority w:val="22"/>
    <w:qFormat/>
    <w:rsid w:val="0075599A"/>
    <w:rPr>
      <w:b/>
      <w:bCs/>
    </w:rPr>
  </w:style>
</w:styles>
</file>

<file path=word/webSettings.xml><?xml version="1.0" encoding="utf-8"?>
<w:webSettings xmlns:r="http://schemas.openxmlformats.org/officeDocument/2006/relationships" xmlns:w="http://schemas.openxmlformats.org/wordprocessingml/2006/main">
  <w:divs>
    <w:div w:id="251813920">
      <w:bodyDiv w:val="1"/>
      <w:marLeft w:val="0"/>
      <w:marRight w:val="0"/>
      <w:marTop w:val="0"/>
      <w:marBottom w:val="0"/>
      <w:divBdr>
        <w:top w:val="none" w:sz="0" w:space="0" w:color="auto"/>
        <w:left w:val="none" w:sz="0" w:space="0" w:color="auto"/>
        <w:bottom w:val="none" w:sz="0" w:space="0" w:color="auto"/>
        <w:right w:val="none" w:sz="0" w:space="0" w:color="auto"/>
      </w:divBdr>
    </w:div>
    <w:div w:id="274412234">
      <w:bodyDiv w:val="1"/>
      <w:marLeft w:val="0"/>
      <w:marRight w:val="0"/>
      <w:marTop w:val="0"/>
      <w:marBottom w:val="0"/>
      <w:divBdr>
        <w:top w:val="none" w:sz="0" w:space="0" w:color="auto"/>
        <w:left w:val="none" w:sz="0" w:space="0" w:color="auto"/>
        <w:bottom w:val="none" w:sz="0" w:space="0" w:color="auto"/>
        <w:right w:val="none" w:sz="0" w:space="0" w:color="auto"/>
      </w:divBdr>
    </w:div>
    <w:div w:id="295256338">
      <w:bodyDiv w:val="1"/>
      <w:marLeft w:val="0"/>
      <w:marRight w:val="0"/>
      <w:marTop w:val="0"/>
      <w:marBottom w:val="0"/>
      <w:divBdr>
        <w:top w:val="none" w:sz="0" w:space="0" w:color="auto"/>
        <w:left w:val="none" w:sz="0" w:space="0" w:color="auto"/>
        <w:bottom w:val="none" w:sz="0" w:space="0" w:color="auto"/>
        <w:right w:val="none" w:sz="0" w:space="0" w:color="auto"/>
      </w:divBdr>
    </w:div>
    <w:div w:id="474488878">
      <w:bodyDiv w:val="1"/>
      <w:marLeft w:val="0"/>
      <w:marRight w:val="0"/>
      <w:marTop w:val="0"/>
      <w:marBottom w:val="0"/>
      <w:divBdr>
        <w:top w:val="none" w:sz="0" w:space="0" w:color="auto"/>
        <w:left w:val="none" w:sz="0" w:space="0" w:color="auto"/>
        <w:bottom w:val="none" w:sz="0" w:space="0" w:color="auto"/>
        <w:right w:val="none" w:sz="0" w:space="0" w:color="auto"/>
      </w:divBdr>
    </w:div>
    <w:div w:id="105932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ee.fr/fr/methodes/default.asp?page=definitions/entreprise.htm" TargetMode="External"/><Relationship Id="rId13" Type="http://schemas.openxmlformats.org/officeDocument/2006/relationships/hyperlink" Target="http://www.insee.fr/fr/methodes/default.asp?page=definitions/temps-partiel.htm" TargetMode="External"/><Relationship Id="rId3" Type="http://schemas.openxmlformats.org/officeDocument/2006/relationships/settings" Target="settings.xml"/><Relationship Id="rId7" Type="http://schemas.openxmlformats.org/officeDocument/2006/relationships/hyperlink" Target="http://www.insee.fr/fr/methodes/default.asp?page=definitions/excedent-brut-exploitation.htm" TargetMode="External"/><Relationship Id="rId12" Type="http://schemas.openxmlformats.org/officeDocument/2006/relationships/hyperlink" Target="http://www.insee.fr/fr/methodes/default.asp?page=definitions/salair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see.fr/fr/methodes/default.asp?page=definitions/personne-physique.htm" TargetMode="External"/><Relationship Id="rId11" Type="http://schemas.openxmlformats.org/officeDocument/2006/relationships/hyperlink" Target="http://www.insee.fr/fr/methodes/default.asp?page=definitions/formation-brute-capital-fixe.htm" TargetMode="External"/><Relationship Id="rId5" Type="http://schemas.openxmlformats.org/officeDocument/2006/relationships/hyperlink" Target="http://www.insee.fr/fr/methodes/default.asp?page=definitions/personne-morale.htm" TargetMode="External"/><Relationship Id="rId15" Type="http://schemas.openxmlformats.org/officeDocument/2006/relationships/fontTable" Target="fontTable.xml"/><Relationship Id="rId10" Type="http://schemas.openxmlformats.org/officeDocument/2006/relationships/hyperlink" Target="http://www.insee.fr/fr/methodes/default.asp?page=definitions/entreprise.htm" TargetMode="External"/><Relationship Id="rId4" Type="http://schemas.openxmlformats.org/officeDocument/2006/relationships/webSettings" Target="webSettings.xml"/><Relationship Id="rId9" Type="http://schemas.openxmlformats.org/officeDocument/2006/relationships/hyperlink" Target="http://www.insee.fr/fr/methodes/default.asp?page=definitions/subventions.htm" TargetMode="External"/><Relationship Id="rId14" Type="http://schemas.openxmlformats.org/officeDocument/2006/relationships/hyperlink" Target="http://www.insee.fr/fr/methodes/default.asp?page=definitions/poste-de-travail.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1173</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6</cp:revision>
  <dcterms:created xsi:type="dcterms:W3CDTF">2015-04-05T20:58:00Z</dcterms:created>
  <dcterms:modified xsi:type="dcterms:W3CDTF">2015-04-05T21:49:00Z</dcterms:modified>
</cp:coreProperties>
</file>