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5DB" w:rsidRDefault="00016511">
      <w:bookmarkStart w:id="0" w:name="_GoBack"/>
      <w:bookmarkEnd w:id="0"/>
      <w:r>
        <w:rPr>
          <w:noProof/>
        </w:rPr>
        <w:drawing>
          <wp:anchor distT="0" distB="0" distL="114300" distR="114300" simplePos="0" relativeHeight="251658240" behindDoc="0" locked="0" layoutInCell="1" allowOverlap="1">
            <wp:simplePos x="0" y="0"/>
            <wp:positionH relativeFrom="column">
              <wp:posOffset>5528310</wp:posOffset>
            </wp:positionH>
            <wp:positionV relativeFrom="page">
              <wp:posOffset>276225</wp:posOffset>
            </wp:positionV>
            <wp:extent cx="552450" cy="592455"/>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92455"/>
                    </a:xfrm>
                    <a:prstGeom prst="rect">
                      <a:avLst/>
                    </a:prstGeom>
                    <a:noFill/>
                    <a:ln>
                      <a:noFill/>
                    </a:ln>
                  </pic:spPr>
                </pic:pic>
              </a:graphicData>
            </a:graphic>
          </wp:anchor>
        </w:drawing>
      </w:r>
      <w:r w:rsidR="003069FA">
        <w:t>Fiche pédagogique à remplir pour les productions Crcf</w:t>
      </w:r>
    </w:p>
    <w:p w:rsidR="001665DB" w:rsidRDefault="001665DB"/>
    <w:tbl>
      <w:tblPr>
        <w:tblW w:w="5042" w:type="pct"/>
        <w:tblInd w:w="-82" w:type="dxa"/>
        <w:tblCellMar>
          <w:left w:w="10" w:type="dxa"/>
          <w:right w:w="10" w:type="dxa"/>
        </w:tblCellMar>
        <w:tblLook w:val="0000" w:firstRow="0" w:lastRow="0" w:firstColumn="0" w:lastColumn="0" w:noHBand="0" w:noVBand="0"/>
      </w:tblPr>
      <w:tblGrid>
        <w:gridCol w:w="2293"/>
        <w:gridCol w:w="7547"/>
      </w:tblGrid>
      <w:tr w:rsidR="001665DB" w:rsidTr="00840085">
        <w:tc>
          <w:tcPr>
            <w:tcW w:w="9840"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C6451D" w:rsidRDefault="00016511" w:rsidP="00C6451D">
            <w:pPr>
              <w:keepNext/>
              <w:tabs>
                <w:tab w:val="left" w:pos="851"/>
              </w:tabs>
              <w:spacing w:before="240" w:after="240"/>
              <w:ind w:left="851" w:right="0" w:hanging="567"/>
              <w:jc w:val="center"/>
              <w:rPr>
                <w:rFonts w:cs="Arial"/>
                <w:b/>
                <w:bCs/>
                <w:iCs/>
                <w:sz w:val="36"/>
                <w:szCs w:val="26"/>
                <w:u w:val="single"/>
              </w:rPr>
            </w:pPr>
            <w:r>
              <w:rPr>
                <w:noProof/>
              </w:rPr>
              <w:drawing>
                <wp:anchor distT="0" distB="0" distL="114300" distR="114300" simplePos="0" relativeHeight="251657216" behindDoc="0" locked="0" layoutInCell="1" allowOverlap="1">
                  <wp:simplePos x="0" y="0"/>
                  <wp:positionH relativeFrom="column">
                    <wp:posOffset>179705</wp:posOffset>
                  </wp:positionH>
                  <wp:positionV relativeFrom="paragraph">
                    <wp:posOffset>147955</wp:posOffset>
                  </wp:positionV>
                  <wp:extent cx="952500" cy="952500"/>
                  <wp:effectExtent l="0" t="0" r="0" b="0"/>
                  <wp:wrapTight wrapText="bothSides">
                    <wp:wrapPolygon edited="0">
                      <wp:start x="0" y="0"/>
                      <wp:lineTo x="0" y="21168"/>
                      <wp:lineTo x="21168" y="21168"/>
                      <wp:lineTo x="21168" y="0"/>
                      <wp:lineTo x="0" y="0"/>
                    </wp:wrapPolygon>
                  </wp:wrapTight>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003069FA">
              <w:rPr>
                <w:rFonts w:cs="Arial"/>
                <w:b/>
                <w:bCs/>
                <w:iCs/>
                <w:color w:val="0F243E"/>
                <w:sz w:val="28"/>
                <w:szCs w:val="26"/>
                <w:u w:val="single"/>
              </w:rPr>
              <w:br/>
            </w:r>
            <w:bookmarkStart w:id="1" w:name="_Toc337805170"/>
            <w:r w:rsidR="00C6451D">
              <w:rPr>
                <w:rFonts w:cs="Arial"/>
                <w:b/>
                <w:bCs/>
                <w:iCs/>
                <w:sz w:val="36"/>
                <w:szCs w:val="26"/>
                <w:u w:val="single"/>
              </w:rPr>
              <w:t>Société STV</w:t>
            </w:r>
          </w:p>
          <w:p w:rsidR="001665DB" w:rsidRDefault="00C6451D" w:rsidP="00C6451D">
            <w:pPr>
              <w:keepNext/>
              <w:tabs>
                <w:tab w:val="left" w:pos="851"/>
              </w:tabs>
              <w:spacing w:before="240" w:after="240"/>
              <w:ind w:left="851" w:right="0" w:hanging="567"/>
              <w:jc w:val="center"/>
            </w:pPr>
            <w:r>
              <w:rPr>
                <w:rFonts w:cs="Arial"/>
                <w:b/>
                <w:bCs/>
                <w:iCs/>
                <w:sz w:val="36"/>
                <w:szCs w:val="26"/>
                <w:u w:val="single"/>
              </w:rPr>
              <w:t>Saveurs et Terroir du Ventoux</w:t>
            </w:r>
            <w:bookmarkEnd w:id="1"/>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rPr>
                <w:b/>
                <w:bCs/>
                <w:szCs w:val="20"/>
              </w:rPr>
            </w:pPr>
            <w:r>
              <w:rPr>
                <w:b/>
                <w:bCs/>
                <w:szCs w:val="20"/>
              </w:rPr>
              <w:t>ACADÉMIE</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7E6334">
            <w:pPr>
              <w:ind w:left="0" w:right="0"/>
              <w:jc w:val="left"/>
              <w:rPr>
                <w:szCs w:val="20"/>
              </w:rPr>
            </w:pPr>
            <w:r>
              <w:rPr>
                <w:szCs w:val="20"/>
              </w:rPr>
              <w:t>LILLE</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Auteur(s) / relecteur(s)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7E6334" w:rsidRDefault="00C6451D" w:rsidP="0098372F">
            <w:pPr>
              <w:ind w:left="0" w:right="0"/>
              <w:jc w:val="left"/>
            </w:pPr>
            <w:r>
              <w:rPr>
                <w:szCs w:val="20"/>
              </w:rPr>
              <w:t xml:space="preserve">JENNY Hugues </w:t>
            </w:r>
            <w:r w:rsidR="007E6334">
              <w:rPr>
                <w:szCs w:val="20"/>
              </w:rPr>
              <w:t xml:space="preserve">- </w:t>
            </w:r>
            <w:r>
              <w:rPr>
                <w:szCs w:val="20"/>
              </w:rPr>
              <w:t xml:space="preserve">Lycée Arthur Rimbaud </w:t>
            </w:r>
            <w:r w:rsidR="007E6334">
              <w:rPr>
                <w:szCs w:val="20"/>
              </w:rPr>
              <w:t xml:space="preserve">- </w:t>
            </w:r>
            <w:r>
              <w:rPr>
                <w:szCs w:val="20"/>
              </w:rPr>
              <w:t>SIN LE NOBLE (59450)</w:t>
            </w:r>
            <w:r w:rsidR="003069FA">
              <w:rPr>
                <w:szCs w:val="20"/>
              </w:rPr>
              <w:t xml:space="preserve"> </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Mots-Clés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C6451D" w:rsidP="00A35E56">
            <w:pPr>
              <w:ind w:left="0" w:right="0"/>
              <w:jc w:val="left"/>
            </w:pPr>
            <w:r>
              <w:rPr>
                <w:szCs w:val="20"/>
              </w:rPr>
              <w:t xml:space="preserve">STV </w:t>
            </w:r>
            <w:r w:rsidR="007E6334">
              <w:rPr>
                <w:szCs w:val="20"/>
              </w:rPr>
              <w:t xml:space="preserve">/ </w:t>
            </w:r>
            <w:r w:rsidR="00A35E56">
              <w:rPr>
                <w:szCs w:val="20"/>
              </w:rPr>
              <w:t>P1-</w:t>
            </w:r>
            <w:r>
              <w:rPr>
                <w:szCs w:val="20"/>
              </w:rPr>
              <w:t>P2</w:t>
            </w:r>
            <w:r w:rsidR="00A35E56">
              <w:rPr>
                <w:szCs w:val="20"/>
              </w:rPr>
              <w:t>-P4-</w:t>
            </w:r>
            <w:r>
              <w:rPr>
                <w:szCs w:val="20"/>
              </w:rPr>
              <w:t xml:space="preserve">P7 </w:t>
            </w:r>
            <w:r w:rsidR="007E6334">
              <w:rPr>
                <w:szCs w:val="20"/>
              </w:rPr>
              <w:t xml:space="preserve">/ </w:t>
            </w:r>
            <w:r>
              <w:rPr>
                <w:szCs w:val="20"/>
              </w:rPr>
              <w:t xml:space="preserve">PGI Sage </w:t>
            </w:r>
            <w:r w:rsidR="007E6334">
              <w:rPr>
                <w:szCs w:val="20"/>
              </w:rPr>
              <w:t xml:space="preserve">/ </w:t>
            </w:r>
            <w:r>
              <w:rPr>
                <w:szCs w:val="20"/>
              </w:rPr>
              <w:t xml:space="preserve">Inventaire </w:t>
            </w:r>
            <w:r w:rsidR="007E6334">
              <w:rPr>
                <w:szCs w:val="20"/>
              </w:rPr>
              <w:t xml:space="preserve">/ </w:t>
            </w:r>
            <w:r>
              <w:rPr>
                <w:szCs w:val="20"/>
              </w:rPr>
              <w:t xml:space="preserve">Amortissements </w:t>
            </w:r>
            <w:r w:rsidR="007E6334">
              <w:rPr>
                <w:szCs w:val="20"/>
              </w:rPr>
              <w:t xml:space="preserve">/ </w:t>
            </w:r>
            <w:r>
              <w:rPr>
                <w:szCs w:val="20"/>
              </w:rPr>
              <w:t xml:space="preserve">Dépréciations </w:t>
            </w:r>
            <w:r w:rsidR="007E6334">
              <w:rPr>
                <w:szCs w:val="20"/>
              </w:rPr>
              <w:t xml:space="preserve">/ </w:t>
            </w:r>
            <w:r>
              <w:rPr>
                <w:szCs w:val="20"/>
              </w:rPr>
              <w:t xml:space="preserve">Provisions </w:t>
            </w:r>
            <w:r w:rsidR="007E6334">
              <w:rPr>
                <w:szCs w:val="20"/>
              </w:rPr>
              <w:t xml:space="preserve">/ </w:t>
            </w:r>
            <w:r>
              <w:rPr>
                <w:szCs w:val="20"/>
              </w:rPr>
              <w:t xml:space="preserve">Ajustements des comptes de gestion </w:t>
            </w:r>
            <w:r w:rsidR="007E6334">
              <w:rPr>
                <w:szCs w:val="20"/>
              </w:rPr>
              <w:t xml:space="preserve">/ </w:t>
            </w:r>
            <w:r>
              <w:rPr>
                <w:szCs w:val="20"/>
              </w:rPr>
              <w:t xml:space="preserve">Bilan </w:t>
            </w:r>
            <w:r w:rsidR="007E6334">
              <w:rPr>
                <w:szCs w:val="20"/>
              </w:rPr>
              <w:t xml:space="preserve">/ </w:t>
            </w:r>
            <w:r>
              <w:rPr>
                <w:szCs w:val="20"/>
              </w:rPr>
              <w:t>Compte de résultat</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Description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C6451D">
            <w:pPr>
              <w:ind w:left="0" w:right="0"/>
              <w:jc w:val="left"/>
            </w:pPr>
            <w:r>
              <w:rPr>
                <w:szCs w:val="20"/>
              </w:rPr>
              <w:t>Travaux d’inventaire relatifs à une société spécialisée dans la vente de fruits et de légumes régionaux</w:t>
            </w:r>
          </w:p>
        </w:tc>
      </w:tr>
      <w:tr w:rsidR="00840085"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Default="00840085" w:rsidP="00921F3E">
            <w:pPr>
              <w:ind w:left="0" w:right="0"/>
              <w:jc w:val="left"/>
              <w:rPr>
                <w:b/>
                <w:bCs/>
                <w:szCs w:val="20"/>
              </w:rPr>
            </w:pPr>
            <w:r>
              <w:rPr>
                <w:b/>
                <w:bCs/>
                <w:szCs w:val="20"/>
              </w:rPr>
              <w:t xml:space="preserve">Durée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Default="00C6451D">
            <w:pPr>
              <w:ind w:left="0" w:right="0"/>
              <w:jc w:val="left"/>
              <w:rPr>
                <w:szCs w:val="20"/>
              </w:rPr>
            </w:pPr>
            <w:r>
              <w:rPr>
                <w:szCs w:val="20"/>
              </w:rPr>
              <w:t>Estimation d’une durée de 20 heures</w:t>
            </w:r>
          </w:p>
        </w:tc>
      </w:tr>
      <w:tr w:rsidR="001665DB" w:rsidTr="0098372F">
        <w:trPr>
          <w:trHeight w:val="20"/>
        </w:trPr>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A35E56">
            <w:pPr>
              <w:spacing w:before="100" w:after="100"/>
              <w:ind w:left="0" w:right="0"/>
              <w:jc w:val="left"/>
            </w:pPr>
            <w:r>
              <w:rPr>
                <w:b/>
                <w:bCs/>
              </w:rPr>
              <w:t>Public visé</w:t>
            </w:r>
            <w:r>
              <w:t xml:space="preserve"> : </w:t>
            </w:r>
            <w:r>
              <w:br/>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C6451D" w:rsidP="0098372F">
            <w:pPr>
              <w:ind w:left="0" w:right="0"/>
              <w:jc w:val="left"/>
              <w:rPr>
                <w:szCs w:val="20"/>
              </w:rPr>
            </w:pPr>
            <w:r>
              <w:rPr>
                <w:szCs w:val="20"/>
              </w:rPr>
              <w:t>BTS CG</w:t>
            </w:r>
          </w:p>
          <w:p w:rsidR="00C6451D" w:rsidRDefault="00C6451D" w:rsidP="0098372F">
            <w:pPr>
              <w:ind w:left="0" w:right="0"/>
              <w:jc w:val="left"/>
            </w:pPr>
            <w:r>
              <w:rPr>
                <w:szCs w:val="20"/>
              </w:rPr>
              <w:t xml:space="preserve">Processus </w:t>
            </w:r>
            <w:r w:rsidR="00A35E56">
              <w:rPr>
                <w:szCs w:val="20"/>
              </w:rPr>
              <w:t>1, processus 2, processus 4, processus 7</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Domaine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A35E56" w:rsidRDefault="007E6334" w:rsidP="00A35E56">
            <w:pPr>
              <w:suppressAutoHyphens w:val="0"/>
              <w:autoSpaceDE w:val="0"/>
              <w:adjustRightInd w:val="0"/>
              <w:ind w:left="0" w:right="0"/>
              <w:jc w:val="left"/>
              <w:textAlignment w:val="auto"/>
            </w:pPr>
            <w:r w:rsidRPr="00721CDE">
              <w:t xml:space="preserve">- </w:t>
            </w:r>
            <w:r w:rsidR="00A35E56" w:rsidRPr="00A35E56">
              <w:t>1.1.1. Identification des caractéristiques du SIC dans l’entreprise et ses acteurs.</w:t>
            </w:r>
          </w:p>
          <w:p w:rsidR="00A35E56" w:rsidRPr="00A35E56" w:rsidRDefault="00A35E56" w:rsidP="00A35E56">
            <w:pPr>
              <w:suppressAutoHyphens w:val="0"/>
              <w:autoSpaceDE w:val="0"/>
              <w:adjustRightInd w:val="0"/>
              <w:ind w:left="0" w:right="0"/>
              <w:jc w:val="left"/>
              <w:textAlignment w:val="auto"/>
            </w:pPr>
            <w:r>
              <w:t xml:space="preserve">- </w:t>
            </w:r>
            <w:r w:rsidRPr="00A35E56">
              <w:t>1.1.3. Repérage des sources du droit comptable et des obligations liées à l’exercice du métier.</w:t>
            </w:r>
          </w:p>
          <w:p w:rsidR="00A35E56" w:rsidRPr="00A35E56" w:rsidRDefault="00A35E56" w:rsidP="00A35E56">
            <w:pPr>
              <w:suppressAutoHyphens w:val="0"/>
              <w:autoSpaceDE w:val="0"/>
              <w:adjustRightInd w:val="0"/>
              <w:ind w:left="0" w:right="0"/>
              <w:jc w:val="left"/>
              <w:textAlignment w:val="auto"/>
            </w:pPr>
            <w:r w:rsidRPr="00A35E56">
              <w:t>- 1.7.2. Analyse du processus « Contrôle et traitement comptable des opérations</w:t>
            </w:r>
            <w:r>
              <w:t xml:space="preserve"> </w:t>
            </w:r>
            <w:r w:rsidRPr="00A35E56">
              <w:t>commerciales ».</w:t>
            </w:r>
          </w:p>
          <w:p w:rsidR="00A35E56" w:rsidRPr="00A35E56" w:rsidRDefault="00A35E56" w:rsidP="00A35E56">
            <w:pPr>
              <w:autoSpaceDE w:val="0"/>
              <w:adjustRightInd w:val="0"/>
              <w:ind w:left="57"/>
            </w:pPr>
            <w:r w:rsidRPr="00A35E56">
              <w:t>- 2.1.1. Identification des évolutions de la réglementation comptable et fiscale.</w:t>
            </w:r>
          </w:p>
          <w:p w:rsidR="007E6334" w:rsidRPr="00721CDE" w:rsidRDefault="00A35E56" w:rsidP="00A35E56">
            <w:pPr>
              <w:ind w:left="0"/>
            </w:pPr>
            <w:r>
              <w:t xml:space="preserve">- </w:t>
            </w:r>
            <w:r w:rsidR="007E6334" w:rsidRPr="00721CDE">
              <w:t>2.3.1. Réalisation, enregistrement, contrôle des travaux d’inventaire relatif aux clients, aux fournisseurs et aux stocks.</w:t>
            </w:r>
          </w:p>
          <w:p w:rsidR="007E6334" w:rsidRPr="00721CDE" w:rsidRDefault="007E6334" w:rsidP="00A35E56">
            <w:pPr>
              <w:ind w:left="0"/>
            </w:pPr>
            <w:r w:rsidRPr="00721CDE">
              <w:t>- 2.3.2. Réalisation, enregistrement, contrôle des travaux d’inventaire relatifs aux immobilisations.</w:t>
            </w:r>
          </w:p>
          <w:p w:rsidR="007E6334" w:rsidRPr="00721CDE" w:rsidRDefault="007E6334" w:rsidP="00A35E56">
            <w:pPr>
              <w:ind w:left="0"/>
            </w:pPr>
            <w:r w:rsidRPr="00721CDE">
              <w:t>- 2.3.3. Ajustement des comptes de gestion et apurement des comptes d’attente.</w:t>
            </w:r>
          </w:p>
          <w:p w:rsidR="007E6334" w:rsidRPr="00721CDE" w:rsidRDefault="007E6334" w:rsidP="00A35E56">
            <w:pPr>
              <w:ind w:left="0"/>
            </w:pPr>
            <w:r w:rsidRPr="00721CDE">
              <w:t>- 2.3.4. Traitement des provisions réglementées et des amortissements exceptionnels.</w:t>
            </w:r>
          </w:p>
          <w:p w:rsidR="007E6334" w:rsidRPr="00721CDE" w:rsidRDefault="007E6334" w:rsidP="00A35E56">
            <w:pPr>
              <w:ind w:left="0"/>
            </w:pPr>
            <w:r w:rsidRPr="00721CDE">
              <w:t>- 2.3.5. Réalisation des contrôles nécessaires et proposition d’évolutions dans les procédures d’inventaire – Mise à jour du dossier de révision.</w:t>
            </w:r>
          </w:p>
          <w:p w:rsidR="00840085" w:rsidRDefault="007E6334" w:rsidP="00A35E56">
            <w:pPr>
              <w:ind w:left="0"/>
            </w:pPr>
            <w:r w:rsidRPr="00721CDE">
              <w:t>- 2.4.2. Préparation des comptes annuels et des situations intermédiaires.</w:t>
            </w:r>
          </w:p>
          <w:p w:rsidR="00A35E56" w:rsidRPr="00A35E56" w:rsidRDefault="00A35E56" w:rsidP="00A35E56">
            <w:pPr>
              <w:suppressAutoHyphens w:val="0"/>
              <w:autoSpaceDE w:val="0"/>
              <w:adjustRightInd w:val="0"/>
              <w:ind w:left="0" w:right="0"/>
              <w:jc w:val="left"/>
              <w:textAlignment w:val="auto"/>
            </w:pPr>
            <w:r>
              <w:t xml:space="preserve">- </w:t>
            </w:r>
            <w:r w:rsidRPr="00A35E56">
              <w:t>2.8.1. Présentation des caractéristiques de l’organisation du processus « Contrôle et production de l’information financière ».</w:t>
            </w:r>
          </w:p>
          <w:p w:rsidR="00A35E56" w:rsidRDefault="00A35E56" w:rsidP="00A35E56">
            <w:pPr>
              <w:suppressAutoHyphens w:val="0"/>
              <w:autoSpaceDE w:val="0"/>
              <w:adjustRightInd w:val="0"/>
              <w:ind w:left="0" w:right="0"/>
              <w:jc w:val="left"/>
              <w:textAlignment w:val="auto"/>
            </w:pPr>
            <w:r w:rsidRPr="00A35E56">
              <w:t>- 2.8.2. Analyse du processus « Contrôle et production de l’information financière ».</w:t>
            </w:r>
          </w:p>
          <w:p w:rsidR="00A35E56" w:rsidRPr="00A35E56" w:rsidRDefault="00A35E56" w:rsidP="00A35E56">
            <w:pPr>
              <w:ind w:left="0"/>
            </w:pPr>
            <w:r>
              <w:t xml:space="preserve">- </w:t>
            </w:r>
            <w:r w:rsidRPr="00A35E56">
              <w:t>4.1.2. Adaptation des procédures et des traitements internes.</w:t>
            </w:r>
          </w:p>
          <w:p w:rsidR="00A35E56" w:rsidRPr="00A35E56" w:rsidRDefault="00A35E56" w:rsidP="00A35E56">
            <w:pPr>
              <w:ind w:left="0"/>
            </w:pPr>
            <w:r w:rsidRPr="00A35E56">
              <w:lastRenderedPageBreak/>
              <w:t>- 4.2.3 Recueil des informations relatives au suivi des absences et des congés.</w:t>
            </w:r>
          </w:p>
          <w:p w:rsidR="00A35E56" w:rsidRDefault="00A35E56" w:rsidP="00A35E56">
            <w:pPr>
              <w:ind w:left="0"/>
            </w:pPr>
            <w:r w:rsidRPr="00A35E56">
              <w:t>- 4.3.4 Enregistrements dans le journal de paie.</w:t>
            </w:r>
          </w:p>
          <w:p w:rsidR="007E6334" w:rsidRDefault="007E6334" w:rsidP="00A35E56">
            <w:pPr>
              <w:ind w:left="0"/>
            </w:pPr>
            <w:r>
              <w:t>- 7.1.1. Caractérisation du SIC.</w:t>
            </w:r>
          </w:p>
          <w:p w:rsidR="007E6334" w:rsidRDefault="007E6334" w:rsidP="00A35E56">
            <w:pPr>
              <w:ind w:left="0"/>
            </w:pPr>
            <w:r>
              <w:t>- 7.1.2. Evaluation des besoins d’information.</w:t>
            </w:r>
          </w:p>
          <w:p w:rsidR="007E6334" w:rsidRDefault="007E6334" w:rsidP="00A35E56">
            <w:pPr>
              <w:ind w:left="0"/>
            </w:pPr>
            <w:r>
              <w:t>- 7.1.3. Mises en œuvre des méthodes de recherche d’information.</w:t>
            </w:r>
          </w:p>
          <w:p w:rsidR="00A35E56" w:rsidRDefault="00A35E56" w:rsidP="00A35E56">
            <w:pPr>
              <w:suppressAutoHyphens w:val="0"/>
              <w:autoSpaceDE w:val="0"/>
              <w:adjustRightInd w:val="0"/>
              <w:ind w:left="0" w:right="0"/>
              <w:jc w:val="left"/>
              <w:textAlignment w:val="auto"/>
            </w:pPr>
            <w:r>
              <w:t xml:space="preserve">- </w:t>
            </w:r>
            <w:r w:rsidRPr="00A35E56">
              <w:t>7.3.1. Optimisation du traitement de l’information.</w:t>
            </w:r>
          </w:p>
          <w:p w:rsidR="007E6334" w:rsidRDefault="007E6334" w:rsidP="00A35E56">
            <w:pPr>
              <w:ind w:left="0"/>
            </w:pPr>
            <w:r>
              <w:t>- 7.3.2. Participation à l’évaluation du SI.</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lastRenderedPageBreak/>
              <w:t xml:space="preserve">Type de ressource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7E6334" w:rsidRPr="007E6334" w:rsidRDefault="007E6334" w:rsidP="007E6334">
            <w:pPr>
              <w:ind w:left="0" w:right="0"/>
              <w:jc w:val="left"/>
              <w:rPr>
                <w:szCs w:val="20"/>
              </w:rPr>
            </w:pPr>
            <w:r w:rsidRPr="007E6334">
              <w:rPr>
                <w:szCs w:val="20"/>
              </w:rPr>
              <w:t>L’étudiant dispose :</w:t>
            </w:r>
          </w:p>
          <w:p w:rsidR="007E6334" w:rsidRPr="007E6334" w:rsidRDefault="007E6334" w:rsidP="007E6334">
            <w:pPr>
              <w:numPr>
                <w:ilvl w:val="0"/>
                <w:numId w:val="2"/>
              </w:numPr>
              <w:ind w:right="0"/>
              <w:jc w:val="left"/>
              <w:rPr>
                <w:szCs w:val="20"/>
              </w:rPr>
            </w:pPr>
            <w:r w:rsidRPr="007E6334">
              <w:rPr>
                <w:szCs w:val="20"/>
              </w:rPr>
              <w:t>des données de la situation professionnelle SA STV,</w:t>
            </w:r>
          </w:p>
          <w:p w:rsidR="007E6334" w:rsidRPr="007E6334" w:rsidRDefault="007E6334" w:rsidP="007E6334">
            <w:pPr>
              <w:numPr>
                <w:ilvl w:val="0"/>
                <w:numId w:val="2"/>
              </w:numPr>
              <w:ind w:right="0"/>
              <w:jc w:val="left"/>
              <w:rPr>
                <w:szCs w:val="20"/>
              </w:rPr>
            </w:pPr>
            <w:r w:rsidRPr="007E6334">
              <w:rPr>
                <w:szCs w:val="20"/>
              </w:rPr>
              <w:t>des procédures de dossier de révision mises en place par la chef comptable,</w:t>
            </w:r>
          </w:p>
          <w:p w:rsidR="007E6334" w:rsidRPr="007E6334" w:rsidRDefault="007E6334" w:rsidP="007E6334">
            <w:pPr>
              <w:numPr>
                <w:ilvl w:val="0"/>
                <w:numId w:val="2"/>
              </w:numPr>
              <w:ind w:right="0"/>
              <w:jc w:val="left"/>
              <w:rPr>
                <w:szCs w:val="20"/>
              </w:rPr>
            </w:pPr>
            <w:r w:rsidRPr="007E6334">
              <w:rPr>
                <w:szCs w:val="20"/>
              </w:rPr>
              <w:t>des informations relatives à l’emprunt contracté auprès du Crédit Agricole (avis de crédit, tableau d’emprunt),</w:t>
            </w:r>
          </w:p>
          <w:p w:rsidR="007E6334" w:rsidRPr="007E6334" w:rsidRDefault="007E6334" w:rsidP="007E6334">
            <w:pPr>
              <w:numPr>
                <w:ilvl w:val="0"/>
                <w:numId w:val="2"/>
              </w:numPr>
              <w:ind w:right="0"/>
              <w:jc w:val="left"/>
              <w:rPr>
                <w:szCs w:val="20"/>
              </w:rPr>
            </w:pPr>
            <w:r w:rsidRPr="007E6334">
              <w:rPr>
                <w:szCs w:val="20"/>
              </w:rPr>
              <w:t>des informations relatives à la subvention accordée par le GJAV (lettre d’attribution, avis de crédit),</w:t>
            </w:r>
          </w:p>
          <w:p w:rsidR="007E6334" w:rsidRPr="007E6334" w:rsidRDefault="007E6334" w:rsidP="007E6334">
            <w:pPr>
              <w:numPr>
                <w:ilvl w:val="0"/>
                <w:numId w:val="2"/>
              </w:numPr>
              <w:ind w:right="0"/>
              <w:jc w:val="left"/>
              <w:rPr>
                <w:szCs w:val="20"/>
              </w:rPr>
            </w:pPr>
            <w:r w:rsidRPr="007E6334">
              <w:rPr>
                <w:szCs w:val="20"/>
              </w:rPr>
              <w:t>des enregistrements comptables extraits du PGI lors du remplacement du tracteur,</w:t>
            </w:r>
          </w:p>
          <w:p w:rsidR="007E6334" w:rsidRPr="007E6334" w:rsidRDefault="007E6334" w:rsidP="007E6334">
            <w:pPr>
              <w:numPr>
                <w:ilvl w:val="0"/>
                <w:numId w:val="2"/>
              </w:numPr>
              <w:ind w:right="0"/>
              <w:jc w:val="left"/>
              <w:rPr>
                <w:szCs w:val="20"/>
              </w:rPr>
            </w:pPr>
            <w:r w:rsidRPr="007E6334">
              <w:rPr>
                <w:szCs w:val="20"/>
              </w:rPr>
              <w:t>des informations relatives au portefeuille-titre (relevé des mouvements de titres, valorisation du portefeuille à l’inventaire et renseignements complémentaires),</w:t>
            </w:r>
          </w:p>
          <w:p w:rsidR="007E6334" w:rsidRPr="007E6334" w:rsidRDefault="007E6334" w:rsidP="007E6334">
            <w:pPr>
              <w:numPr>
                <w:ilvl w:val="0"/>
                <w:numId w:val="2"/>
              </w:numPr>
              <w:ind w:right="0"/>
              <w:jc w:val="left"/>
              <w:rPr>
                <w:szCs w:val="20"/>
              </w:rPr>
            </w:pPr>
            <w:r w:rsidRPr="007E6334">
              <w:rPr>
                <w:szCs w:val="20"/>
              </w:rPr>
              <w:t>des informations relatives aux clients douteux (extrait de la balance âgée des clients, tableau des lignes de crédit, procédure comptable de suivi des créances, mail envoyé par le responsable administratif et renseignements complémentaires),</w:t>
            </w:r>
          </w:p>
          <w:p w:rsidR="007E6334" w:rsidRPr="007E6334" w:rsidRDefault="007E6334" w:rsidP="007E6334">
            <w:pPr>
              <w:numPr>
                <w:ilvl w:val="0"/>
                <w:numId w:val="2"/>
              </w:numPr>
              <w:ind w:right="0"/>
              <w:jc w:val="left"/>
              <w:rPr>
                <w:szCs w:val="20"/>
              </w:rPr>
            </w:pPr>
            <w:r w:rsidRPr="007E6334">
              <w:rPr>
                <w:szCs w:val="20"/>
              </w:rPr>
              <w:t>des informations relatives au prêt consenti à M. Jean PARISSE (avis de débit, mail envoyé par M. PARISSE, mail envoyé par le cabinet juridique BIDOIRE),</w:t>
            </w:r>
          </w:p>
          <w:p w:rsidR="007E6334" w:rsidRDefault="007E6334" w:rsidP="007E6334">
            <w:pPr>
              <w:numPr>
                <w:ilvl w:val="0"/>
                <w:numId w:val="2"/>
              </w:numPr>
              <w:ind w:right="0"/>
              <w:jc w:val="left"/>
              <w:rPr>
                <w:szCs w:val="20"/>
              </w:rPr>
            </w:pPr>
            <w:r w:rsidRPr="007E6334">
              <w:rPr>
                <w:szCs w:val="20"/>
              </w:rPr>
              <w:t>des pièces justificatives restant à traiter (Facture et avoir de la société GRAINE-CAVAILLON et quittance de MAAF Carpentras),</w:t>
            </w:r>
          </w:p>
          <w:p w:rsidR="00A35E56" w:rsidRPr="007E6334" w:rsidRDefault="00A35E56" w:rsidP="007E6334">
            <w:pPr>
              <w:numPr>
                <w:ilvl w:val="0"/>
                <w:numId w:val="2"/>
              </w:numPr>
              <w:ind w:right="0"/>
              <w:jc w:val="left"/>
              <w:rPr>
                <w:szCs w:val="20"/>
              </w:rPr>
            </w:pPr>
            <w:r>
              <w:rPr>
                <w:szCs w:val="20"/>
              </w:rPr>
              <w:t>du récapitulatif annuel du livre de paie,</w:t>
            </w:r>
          </w:p>
          <w:p w:rsidR="007E6334" w:rsidRPr="007E6334" w:rsidRDefault="007E6334" w:rsidP="007E6334">
            <w:pPr>
              <w:numPr>
                <w:ilvl w:val="0"/>
                <w:numId w:val="2"/>
              </w:numPr>
              <w:ind w:right="0"/>
              <w:jc w:val="left"/>
              <w:rPr>
                <w:szCs w:val="20"/>
              </w:rPr>
            </w:pPr>
            <w:r w:rsidRPr="007E6334">
              <w:rPr>
                <w:szCs w:val="20"/>
              </w:rPr>
              <w:t>du mode opératoire pour le calcul des amortissements dans le module de gestion des immobilisations du PGI,</w:t>
            </w:r>
          </w:p>
          <w:p w:rsidR="007E6334" w:rsidRPr="007E6334" w:rsidRDefault="007E6334" w:rsidP="007E6334">
            <w:pPr>
              <w:numPr>
                <w:ilvl w:val="0"/>
                <w:numId w:val="2"/>
              </w:numPr>
              <w:ind w:right="0"/>
              <w:jc w:val="left"/>
              <w:rPr>
                <w:szCs w:val="20"/>
              </w:rPr>
            </w:pPr>
            <w:r w:rsidRPr="007E6334">
              <w:rPr>
                <w:szCs w:val="20"/>
              </w:rPr>
              <w:t>d’une base documentaire relative :</w:t>
            </w:r>
          </w:p>
          <w:p w:rsidR="007E6334" w:rsidRPr="007E6334" w:rsidRDefault="007E6334" w:rsidP="007E6334">
            <w:pPr>
              <w:numPr>
                <w:ilvl w:val="1"/>
                <w:numId w:val="2"/>
              </w:numPr>
              <w:ind w:right="0"/>
              <w:jc w:val="left"/>
              <w:rPr>
                <w:szCs w:val="20"/>
              </w:rPr>
            </w:pPr>
            <w:r w:rsidRPr="007E6334">
              <w:rPr>
                <w:szCs w:val="20"/>
              </w:rPr>
              <w:t>aux calculs d’amortissement,</w:t>
            </w:r>
          </w:p>
          <w:p w:rsidR="007E6334" w:rsidRPr="007E6334" w:rsidRDefault="007E6334" w:rsidP="007E6334">
            <w:pPr>
              <w:numPr>
                <w:ilvl w:val="1"/>
                <w:numId w:val="2"/>
              </w:numPr>
              <w:ind w:right="0"/>
              <w:jc w:val="left"/>
              <w:rPr>
                <w:szCs w:val="20"/>
              </w:rPr>
            </w:pPr>
            <w:r w:rsidRPr="007E6334">
              <w:rPr>
                <w:szCs w:val="20"/>
              </w:rPr>
              <w:t>à l’évaluation des actifs,</w:t>
            </w:r>
          </w:p>
          <w:p w:rsidR="007E6334" w:rsidRPr="007E6334" w:rsidRDefault="007E6334" w:rsidP="007E6334">
            <w:pPr>
              <w:numPr>
                <w:ilvl w:val="1"/>
                <w:numId w:val="2"/>
              </w:numPr>
              <w:ind w:right="0"/>
              <w:jc w:val="left"/>
              <w:rPr>
                <w:szCs w:val="20"/>
              </w:rPr>
            </w:pPr>
            <w:r w:rsidRPr="007E6334">
              <w:rPr>
                <w:szCs w:val="20"/>
              </w:rPr>
              <w:t>aux provisions,</w:t>
            </w:r>
          </w:p>
          <w:p w:rsidR="007E6334" w:rsidRPr="007E6334" w:rsidRDefault="007E6334" w:rsidP="007E6334">
            <w:pPr>
              <w:numPr>
                <w:ilvl w:val="1"/>
                <w:numId w:val="2"/>
              </w:numPr>
              <w:ind w:right="0"/>
              <w:jc w:val="left"/>
              <w:rPr>
                <w:szCs w:val="20"/>
              </w:rPr>
            </w:pPr>
            <w:r w:rsidRPr="007E6334">
              <w:rPr>
                <w:szCs w:val="20"/>
              </w:rPr>
              <w:t>aux dépréciations (immobilisations, stocks, créances et titres),</w:t>
            </w:r>
          </w:p>
          <w:p w:rsidR="007E6334" w:rsidRPr="007E6334" w:rsidRDefault="007E6334" w:rsidP="007E6334">
            <w:pPr>
              <w:numPr>
                <w:ilvl w:val="1"/>
                <w:numId w:val="2"/>
              </w:numPr>
              <w:ind w:right="0"/>
              <w:jc w:val="left"/>
              <w:rPr>
                <w:szCs w:val="20"/>
              </w:rPr>
            </w:pPr>
            <w:r w:rsidRPr="007E6334">
              <w:rPr>
                <w:szCs w:val="20"/>
              </w:rPr>
              <w:t>aux particularités liées aux cessions d’immobilisations,</w:t>
            </w:r>
          </w:p>
          <w:p w:rsidR="007E6334" w:rsidRPr="007E6334" w:rsidRDefault="007E6334" w:rsidP="007E6334">
            <w:pPr>
              <w:numPr>
                <w:ilvl w:val="1"/>
                <w:numId w:val="2"/>
              </w:numPr>
              <w:ind w:right="0"/>
              <w:jc w:val="left"/>
              <w:rPr>
                <w:szCs w:val="20"/>
              </w:rPr>
            </w:pPr>
            <w:r w:rsidRPr="007E6334">
              <w:rPr>
                <w:szCs w:val="20"/>
              </w:rPr>
              <w:t>aux subventions d’investissement,</w:t>
            </w:r>
          </w:p>
          <w:p w:rsidR="007E6334" w:rsidRPr="007E6334" w:rsidRDefault="007E6334" w:rsidP="007E6334">
            <w:pPr>
              <w:numPr>
                <w:ilvl w:val="1"/>
                <w:numId w:val="2"/>
              </w:numPr>
              <w:ind w:right="0"/>
              <w:jc w:val="left"/>
              <w:rPr>
                <w:szCs w:val="20"/>
              </w:rPr>
            </w:pPr>
            <w:r w:rsidRPr="007E6334">
              <w:rPr>
                <w:szCs w:val="20"/>
              </w:rPr>
              <w:t>à l’ajustement des comptes de gestion,</w:t>
            </w:r>
          </w:p>
          <w:p w:rsidR="00A35E56" w:rsidRDefault="007E6334" w:rsidP="007E6334">
            <w:pPr>
              <w:numPr>
                <w:ilvl w:val="1"/>
                <w:numId w:val="2"/>
              </w:numPr>
              <w:ind w:right="0"/>
              <w:jc w:val="left"/>
              <w:rPr>
                <w:szCs w:val="20"/>
              </w:rPr>
            </w:pPr>
            <w:r w:rsidRPr="007E6334">
              <w:rPr>
                <w:szCs w:val="20"/>
              </w:rPr>
              <w:t>aux calculs relatifs aux emprunts</w:t>
            </w:r>
            <w:r w:rsidR="00A35E56">
              <w:rPr>
                <w:szCs w:val="20"/>
              </w:rPr>
              <w:t>,</w:t>
            </w:r>
          </w:p>
          <w:p w:rsidR="007E6334" w:rsidRPr="007E6334" w:rsidRDefault="00A35E56" w:rsidP="007E6334">
            <w:pPr>
              <w:numPr>
                <w:ilvl w:val="1"/>
                <w:numId w:val="2"/>
              </w:numPr>
              <w:ind w:right="0"/>
              <w:jc w:val="left"/>
              <w:rPr>
                <w:szCs w:val="20"/>
              </w:rPr>
            </w:pPr>
            <w:r>
              <w:rPr>
                <w:szCs w:val="20"/>
              </w:rPr>
              <w:t>aux traitements relatifs aux congés payés</w:t>
            </w:r>
            <w:r w:rsidR="007E6334" w:rsidRPr="007E6334">
              <w:rPr>
                <w:szCs w:val="20"/>
              </w:rPr>
              <w:t>.</w:t>
            </w:r>
          </w:p>
          <w:p w:rsidR="007E6334" w:rsidRPr="007E6334" w:rsidRDefault="007E6334" w:rsidP="007E6334">
            <w:pPr>
              <w:numPr>
                <w:ilvl w:val="0"/>
                <w:numId w:val="2"/>
              </w:numPr>
              <w:ind w:right="0"/>
              <w:jc w:val="left"/>
              <w:rPr>
                <w:szCs w:val="20"/>
              </w:rPr>
            </w:pPr>
            <w:r w:rsidRPr="007E6334">
              <w:rPr>
                <w:szCs w:val="20"/>
              </w:rPr>
              <w:t>d’un tableau (sur Excel) permettant de réaliser les calculs de dépréciation</w:t>
            </w:r>
            <w:r w:rsidR="00A35E56">
              <w:rPr>
                <w:szCs w:val="20"/>
              </w:rPr>
              <w:t xml:space="preserve"> et de congés payés</w:t>
            </w:r>
            <w:r w:rsidRPr="007E6334">
              <w:rPr>
                <w:szCs w:val="20"/>
              </w:rPr>
              <w:t>,</w:t>
            </w:r>
          </w:p>
          <w:p w:rsidR="001665DB" w:rsidRDefault="007E6334" w:rsidP="00A35E56">
            <w:pPr>
              <w:numPr>
                <w:ilvl w:val="0"/>
                <w:numId w:val="2"/>
              </w:numPr>
              <w:ind w:right="0"/>
              <w:jc w:val="left"/>
            </w:pPr>
            <w:r w:rsidRPr="007E6334">
              <w:rPr>
                <w:szCs w:val="20"/>
              </w:rPr>
              <w:t xml:space="preserve">de la balance avant inventaire de la société STV au 31 </w:t>
            </w:r>
            <w:r w:rsidRPr="007E6334">
              <w:rPr>
                <w:szCs w:val="20"/>
              </w:rPr>
              <w:lastRenderedPageBreak/>
              <w:t>décembre 201</w:t>
            </w:r>
            <w:r w:rsidR="00A35E56">
              <w:rPr>
                <w:szCs w:val="20"/>
              </w:rPr>
              <w:t>5</w:t>
            </w:r>
            <w:r w:rsidRPr="007E6334">
              <w:rPr>
                <w:szCs w:val="20"/>
              </w:rPr>
              <w:t xml:space="preserve"> sur le module comptable du PGI.</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lastRenderedPageBreak/>
              <w:t xml:space="preserve">Logiciel utilisé </w:t>
            </w:r>
            <w:r>
              <w:t>:</w:t>
            </w:r>
            <w:r>
              <w:br/>
            </w:r>
            <w:r>
              <w:rPr>
                <w:b/>
                <w:bCs/>
              </w:rPr>
              <w:t xml:space="preserve">Autres outils TIC </w:t>
            </w:r>
            <w:r>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7E6334">
            <w:pPr>
              <w:ind w:left="0" w:right="0"/>
              <w:jc w:val="left"/>
            </w:pPr>
            <w:r>
              <w:t>PGI (module comptable et module de gestion des immobilisations), tableur, traitement de texte, accès internet, ressources internes disponibles sur le réseau de l’établissement par exemple.</w:t>
            </w:r>
            <w:r w:rsidR="003069FA">
              <w:rPr>
                <w:szCs w:val="20"/>
              </w:rPr>
              <w:t> </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Cadre pédagogique,</w:t>
            </w:r>
            <w:r>
              <w:rPr>
                <w:b/>
                <w:bCs/>
              </w:rPr>
              <w:br/>
              <w:t>organisation pédagogique</w:t>
            </w:r>
            <w:r>
              <w:rPr>
                <w:b/>
                <w:bCs/>
              </w:rPr>
              <w:br/>
              <w:t>et conditions de déroulement</w:t>
            </w:r>
            <w:r>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7E6334" w:rsidRDefault="007E6334" w:rsidP="00A53C82">
            <w:pPr>
              <w:ind w:left="0"/>
            </w:pPr>
            <w:r>
              <w:t>Les étudiants travaillent au service « Comptabilité ».</w:t>
            </w:r>
          </w:p>
          <w:p w:rsidR="007E6334" w:rsidRDefault="007E6334" w:rsidP="00A53C82">
            <w:pPr>
              <w:ind w:left="0"/>
            </w:pPr>
            <w:r>
              <w:t>La mise en place d’un jeu sérieux peut être envisagée avec constitution (par exemple) de 4 équipes de 4 étudiants : un étudiant est le chef comptable (Fabienne SUZETTE), les autres sont assistants comptables et se partagent équitablement les tâches à réaliser.</w:t>
            </w:r>
          </w:p>
          <w:p w:rsidR="007E6334" w:rsidRDefault="007E6334" w:rsidP="00A53C82">
            <w:pPr>
              <w:ind w:left="0"/>
            </w:pPr>
            <w:r>
              <w:t>Le chef comptable se doit :</w:t>
            </w:r>
          </w:p>
          <w:p w:rsidR="007E6334" w:rsidRPr="007E6334" w:rsidRDefault="007E6334" w:rsidP="007E6334">
            <w:pPr>
              <w:pStyle w:val="Paragraphedeliste"/>
              <w:numPr>
                <w:ilvl w:val="0"/>
                <w:numId w:val="4"/>
              </w:numPr>
              <w:jc w:val="both"/>
              <w:rPr>
                <w:rFonts w:ascii="Book Antiqua" w:hAnsi="Book Antiqua"/>
                <w:sz w:val="24"/>
                <w:szCs w:val="24"/>
              </w:rPr>
            </w:pPr>
            <w:r w:rsidRPr="007E6334">
              <w:rPr>
                <w:rFonts w:ascii="Book Antiqua" w:hAnsi="Book Antiqua"/>
                <w:sz w:val="24"/>
                <w:szCs w:val="24"/>
              </w:rPr>
              <w:t>d’automatiser le calcul des amortissements sur le module de gestion des immobilisations du PGI,</w:t>
            </w:r>
          </w:p>
          <w:p w:rsidR="007E6334" w:rsidRPr="007E6334" w:rsidRDefault="007E6334" w:rsidP="007E6334">
            <w:pPr>
              <w:pStyle w:val="Paragraphedeliste"/>
              <w:numPr>
                <w:ilvl w:val="0"/>
                <w:numId w:val="4"/>
              </w:numPr>
              <w:jc w:val="both"/>
              <w:rPr>
                <w:rFonts w:ascii="Book Antiqua" w:hAnsi="Book Antiqua"/>
                <w:sz w:val="24"/>
                <w:szCs w:val="24"/>
              </w:rPr>
            </w:pPr>
            <w:r w:rsidRPr="007E6334">
              <w:rPr>
                <w:rFonts w:ascii="Book Antiqua" w:hAnsi="Book Antiqua"/>
                <w:sz w:val="24"/>
                <w:szCs w:val="24"/>
              </w:rPr>
              <w:t>de collaborer avec les assistants comptables,</w:t>
            </w:r>
          </w:p>
          <w:p w:rsidR="007E6334" w:rsidRPr="007E6334" w:rsidRDefault="007E6334" w:rsidP="007E6334">
            <w:pPr>
              <w:pStyle w:val="Paragraphedeliste"/>
              <w:numPr>
                <w:ilvl w:val="0"/>
                <w:numId w:val="4"/>
              </w:numPr>
              <w:jc w:val="both"/>
              <w:rPr>
                <w:rFonts w:ascii="Book Antiqua" w:hAnsi="Book Antiqua"/>
                <w:sz w:val="24"/>
                <w:szCs w:val="24"/>
              </w:rPr>
            </w:pPr>
            <w:r w:rsidRPr="007E6334">
              <w:rPr>
                <w:rFonts w:ascii="Book Antiqua" w:hAnsi="Book Antiqua"/>
                <w:sz w:val="24"/>
                <w:szCs w:val="24"/>
              </w:rPr>
              <w:t>de communiquer avec l’expert-comptable et le chef d’entreprise (par mail ou par entretien direct).</w:t>
            </w:r>
          </w:p>
          <w:p w:rsidR="007E6334" w:rsidRDefault="007E6334" w:rsidP="00A53C82">
            <w:pPr>
              <w:ind w:left="0"/>
            </w:pPr>
            <w:r>
              <w:t>Les assistants comptables se doivent :</w:t>
            </w:r>
          </w:p>
          <w:p w:rsidR="007E6334" w:rsidRPr="007E6334" w:rsidRDefault="007E6334" w:rsidP="007E6334">
            <w:pPr>
              <w:pStyle w:val="Paragraphedeliste"/>
              <w:numPr>
                <w:ilvl w:val="0"/>
                <w:numId w:val="4"/>
              </w:numPr>
              <w:jc w:val="both"/>
              <w:rPr>
                <w:rFonts w:ascii="Book Antiqua" w:hAnsi="Book Antiqua"/>
                <w:sz w:val="24"/>
                <w:szCs w:val="24"/>
              </w:rPr>
            </w:pPr>
            <w:r w:rsidRPr="007E6334">
              <w:rPr>
                <w:rFonts w:ascii="Book Antiqua" w:hAnsi="Book Antiqua"/>
                <w:sz w:val="24"/>
                <w:szCs w:val="24"/>
              </w:rPr>
              <w:t>d’enregistrer sur le module comptable du PGI, toutes les écritures d’inventaire nécessaires.</w:t>
            </w:r>
          </w:p>
          <w:p w:rsidR="007E6334" w:rsidRDefault="007E6334" w:rsidP="00A53C82">
            <w:pPr>
              <w:ind w:left="0"/>
            </w:pPr>
            <w:r>
              <w:t>L’enseignant joue le double rôle :</w:t>
            </w:r>
          </w:p>
          <w:p w:rsidR="007E6334" w:rsidRPr="007E6334" w:rsidRDefault="007E6334" w:rsidP="007E6334">
            <w:pPr>
              <w:pStyle w:val="Paragraphedeliste"/>
              <w:numPr>
                <w:ilvl w:val="0"/>
                <w:numId w:val="3"/>
              </w:numPr>
              <w:jc w:val="both"/>
              <w:rPr>
                <w:rFonts w:ascii="Book Antiqua" w:hAnsi="Book Antiqua"/>
                <w:sz w:val="24"/>
                <w:szCs w:val="24"/>
              </w:rPr>
            </w:pPr>
            <w:r w:rsidRPr="007E6334">
              <w:rPr>
                <w:rFonts w:ascii="Book Antiqua" w:hAnsi="Book Antiqua"/>
                <w:sz w:val="24"/>
                <w:szCs w:val="24"/>
              </w:rPr>
              <w:t>du PDG (Pierre LAFARGUE) qui supervise le travail, précise les évolutions souhaitées et souhaite obtenir un rapport final sur les travaux réalisés,</w:t>
            </w:r>
          </w:p>
          <w:p w:rsidR="001665DB" w:rsidRDefault="007E6334" w:rsidP="007E6334">
            <w:pPr>
              <w:pStyle w:val="Paragraphedeliste"/>
              <w:numPr>
                <w:ilvl w:val="0"/>
                <w:numId w:val="3"/>
              </w:numPr>
              <w:jc w:val="both"/>
            </w:pPr>
            <w:r w:rsidRPr="007E6334">
              <w:rPr>
                <w:rFonts w:ascii="Book Antiqua" w:hAnsi="Book Antiqua"/>
                <w:sz w:val="24"/>
                <w:szCs w:val="24"/>
              </w:rPr>
              <w:t>de l’expert-comptable qui guide, répond aux interrogations comptables et fiscales et apporte des précisions techniques en cas de besoin.</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 xml:space="preserve">Fichier à télécharger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577745" w:rsidP="00A53C82">
            <w:pPr>
              <w:ind w:left="0" w:right="0"/>
              <w:jc w:val="left"/>
            </w:pPr>
            <w:hyperlink r:id="rId9" w:history="1">
              <w:r w:rsidR="00317C41">
                <w:rPr>
                  <w:rStyle w:val="Lienhypertexte"/>
                </w:rPr>
                <w:t>lien STV.eleve</w:t>
              </w:r>
            </w:hyperlink>
          </w:p>
          <w:p w:rsidR="00F5353D" w:rsidRDefault="00F5353D" w:rsidP="00A53C82">
            <w:pPr>
              <w:ind w:left="0" w:right="0"/>
              <w:jc w:val="left"/>
            </w:pPr>
          </w:p>
          <w:p w:rsidR="00F5353D" w:rsidRDefault="00577745" w:rsidP="00A53C82">
            <w:pPr>
              <w:ind w:left="0" w:right="0"/>
              <w:jc w:val="left"/>
            </w:pPr>
            <w:hyperlink r:id="rId10" w:history="1">
              <w:r w:rsidR="00317C41">
                <w:rPr>
                  <w:rStyle w:val="Lienhypertexte"/>
                </w:rPr>
                <w:t>Lien STV.prof</w:t>
              </w:r>
            </w:hyperlink>
          </w:p>
          <w:p w:rsidR="00992DC9" w:rsidRDefault="00992DC9" w:rsidP="00A53C82">
            <w:pPr>
              <w:ind w:left="0" w:right="0"/>
              <w:jc w:val="left"/>
            </w:pPr>
          </w:p>
        </w:tc>
      </w:tr>
      <w:tr w:rsidR="001665DB" w:rsidTr="00840085">
        <w:tc>
          <w:tcPr>
            <w:tcW w:w="9840"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pPr>
              <w:ind w:left="0" w:right="0"/>
            </w:pPr>
            <w:r>
              <w:rPr>
                <w:b/>
                <w:bCs/>
                <w:szCs w:val="20"/>
              </w:rPr>
              <w:t>Observations</w:t>
            </w:r>
            <w:r>
              <w:rPr>
                <w:szCs w:val="20"/>
              </w:rPr>
              <w:t xml:space="preserve"> :</w:t>
            </w:r>
            <w:r w:rsidR="00016511">
              <w:rPr>
                <w:szCs w:val="20"/>
              </w:rPr>
              <w:t xml:space="preserve"> Cette SP peut</w:t>
            </w:r>
            <w:r w:rsidR="00B306EC">
              <w:rPr>
                <w:szCs w:val="20"/>
              </w:rPr>
              <w:t xml:space="preserve"> être réalisée dans le cadre d’un</w:t>
            </w:r>
            <w:r w:rsidR="00016511">
              <w:rPr>
                <w:szCs w:val="20"/>
              </w:rPr>
              <w:t xml:space="preserve"> </w:t>
            </w:r>
            <w:r w:rsidR="00B306EC">
              <w:rPr>
                <w:szCs w:val="20"/>
              </w:rPr>
              <w:t>« </w:t>
            </w:r>
            <w:r w:rsidR="00016511">
              <w:rPr>
                <w:szCs w:val="20"/>
              </w:rPr>
              <w:t>A</w:t>
            </w:r>
            <w:r w:rsidR="00B306EC">
              <w:rPr>
                <w:szCs w:val="20"/>
              </w:rPr>
              <w:t>t</w:t>
            </w:r>
            <w:r w:rsidR="0098372F">
              <w:rPr>
                <w:szCs w:val="20"/>
              </w:rPr>
              <w:t>elier</w:t>
            </w:r>
            <w:r w:rsidR="00B306EC">
              <w:rPr>
                <w:szCs w:val="20"/>
              </w:rPr>
              <w:t xml:space="preserve"> </w:t>
            </w:r>
            <w:r w:rsidR="00016511">
              <w:rPr>
                <w:szCs w:val="20"/>
              </w:rPr>
              <w:t>P</w:t>
            </w:r>
            <w:r w:rsidR="00B306EC">
              <w:rPr>
                <w:szCs w:val="20"/>
              </w:rPr>
              <w:t>ro</w:t>
            </w:r>
            <w:r w:rsidR="0098372F">
              <w:rPr>
                <w:szCs w:val="20"/>
              </w:rPr>
              <w:t>fessionnel</w:t>
            </w:r>
            <w:r w:rsidR="00B306EC">
              <w:rPr>
                <w:szCs w:val="20"/>
              </w:rPr>
              <w:t> » ou</w:t>
            </w:r>
            <w:r w:rsidR="00016511">
              <w:rPr>
                <w:szCs w:val="20"/>
              </w:rPr>
              <w:t xml:space="preserve"> en « fil rouge » dans le cadre du processus 2.</w:t>
            </w:r>
          </w:p>
        </w:tc>
      </w:tr>
    </w:tbl>
    <w:p w:rsidR="001665DB" w:rsidRDefault="001665DB"/>
    <w:p w:rsidR="001665DB" w:rsidRDefault="001665DB"/>
    <w:sectPr w:rsidR="001665DB" w:rsidSect="000B70EB">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745" w:rsidRDefault="00577745">
      <w:r>
        <w:separator/>
      </w:r>
    </w:p>
  </w:endnote>
  <w:endnote w:type="continuationSeparator" w:id="0">
    <w:p w:rsidR="00577745" w:rsidRDefault="0057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T222t00">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745" w:rsidRDefault="00577745">
      <w:r>
        <w:rPr>
          <w:color w:val="000000"/>
        </w:rPr>
        <w:separator/>
      </w:r>
    </w:p>
  </w:footnote>
  <w:footnote w:type="continuationSeparator" w:id="0">
    <w:p w:rsidR="00577745" w:rsidRDefault="00577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0DC1"/>
    <w:multiLevelType w:val="hybridMultilevel"/>
    <w:tmpl w:val="C78E2020"/>
    <w:lvl w:ilvl="0" w:tplc="38BAA790">
      <w:numFmt w:val="bullet"/>
      <w:lvlText w:val="-"/>
      <w:lvlJc w:val="left"/>
      <w:pPr>
        <w:ind w:left="720" w:hanging="360"/>
      </w:pPr>
      <w:rPr>
        <w:rFonts w:ascii="TT222t00" w:eastAsia="Times New Roman" w:hAnsi="TT222t00" w:cs="TT222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886195"/>
    <w:multiLevelType w:val="hybridMultilevel"/>
    <w:tmpl w:val="B9080F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13633A"/>
    <w:multiLevelType w:val="hybridMultilevel"/>
    <w:tmpl w:val="22489EBC"/>
    <w:lvl w:ilvl="0" w:tplc="6582B9D8">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8A3C62"/>
    <w:multiLevelType w:val="hybridMultilevel"/>
    <w:tmpl w:val="D4EE33A0"/>
    <w:lvl w:ilvl="0" w:tplc="0D4EBA80">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EB9528E"/>
    <w:multiLevelType w:val="hybridMultilevel"/>
    <w:tmpl w:val="C9288A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1D"/>
    <w:rsid w:val="00016511"/>
    <w:rsid w:val="000B70EB"/>
    <w:rsid w:val="001665DB"/>
    <w:rsid w:val="00257B82"/>
    <w:rsid w:val="002B22AF"/>
    <w:rsid w:val="003069FA"/>
    <w:rsid w:val="00317C41"/>
    <w:rsid w:val="00443CBF"/>
    <w:rsid w:val="00572114"/>
    <w:rsid w:val="00577745"/>
    <w:rsid w:val="00666FD3"/>
    <w:rsid w:val="007932D4"/>
    <w:rsid w:val="007E6334"/>
    <w:rsid w:val="00840085"/>
    <w:rsid w:val="00872B96"/>
    <w:rsid w:val="00921F3E"/>
    <w:rsid w:val="0098372F"/>
    <w:rsid w:val="00992DC9"/>
    <w:rsid w:val="00A35E56"/>
    <w:rsid w:val="00A53C82"/>
    <w:rsid w:val="00B306EC"/>
    <w:rsid w:val="00C0320B"/>
    <w:rsid w:val="00C542F0"/>
    <w:rsid w:val="00C6451D"/>
    <w:rsid w:val="00D431CC"/>
    <w:rsid w:val="00E564D8"/>
    <w:rsid w:val="00F5353D"/>
    <w:rsid w:val="00FD1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421DF-3FBC-4463-8E77-6B7EDD72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70EB"/>
    <w:pPr>
      <w:suppressAutoHyphens/>
      <w:autoSpaceDN w:val="0"/>
      <w:ind w:left="284" w:right="284"/>
      <w:jc w:val="both"/>
      <w:textAlignment w:val="baseline"/>
    </w:pPr>
    <w:rPr>
      <w:rFonts w:ascii="Book Antiqua" w:hAnsi="Book Antiqua"/>
      <w:sz w:val="24"/>
      <w:szCs w:val="24"/>
    </w:rPr>
  </w:style>
  <w:style w:type="paragraph" w:styleId="Titre1">
    <w:name w:val="heading 1"/>
    <w:basedOn w:val="Normal"/>
    <w:next w:val="Normal"/>
    <w:rsid w:val="000B70EB"/>
    <w:pPr>
      <w:keepNext/>
      <w:pBdr>
        <w:top w:val="double" w:sz="12" w:space="1" w:color="000080"/>
        <w:bottom w:val="double" w:sz="12" w:space="1" w:color="000080"/>
      </w:pBdr>
      <w:spacing w:before="240" w:after="240"/>
      <w:ind w:left="0" w:right="-1"/>
      <w:outlineLvl w:val="0"/>
    </w:pPr>
    <w:rPr>
      <w:rFonts w:ascii="Arial" w:hAnsi="Arial" w:cs="Arial"/>
      <w:b/>
      <w:bCs/>
      <w:color w:val="0000FF"/>
      <w:kern w:val="3"/>
      <w:sz w:val="36"/>
      <w:szCs w:val="32"/>
    </w:rPr>
  </w:style>
  <w:style w:type="paragraph" w:styleId="Titre2">
    <w:name w:val="heading 2"/>
    <w:basedOn w:val="Normal"/>
    <w:next w:val="Normal"/>
    <w:rsid w:val="000B70EB"/>
    <w:pPr>
      <w:keepNext/>
      <w:pBdr>
        <w:bottom w:val="double" w:sz="12" w:space="1" w:color="000080"/>
      </w:pBdr>
      <w:spacing w:before="240" w:after="240"/>
      <w:ind w:left="0" w:right="0"/>
      <w:outlineLvl w:val="1"/>
    </w:pPr>
    <w:rPr>
      <w:rFonts w:ascii="Arial" w:hAnsi="Arial" w:cs="Arial"/>
      <w:b/>
      <w:bCs/>
      <w:i/>
      <w:iCs/>
      <w:color w:val="0000FF"/>
      <w:sz w:val="28"/>
      <w:szCs w:val="28"/>
    </w:rPr>
  </w:style>
  <w:style w:type="paragraph" w:styleId="Titre3">
    <w:name w:val="heading 3"/>
    <w:basedOn w:val="Normal"/>
    <w:next w:val="Normal"/>
    <w:rsid w:val="000B70EB"/>
    <w:pPr>
      <w:keepNext/>
      <w:spacing w:before="240" w:after="120"/>
      <w:ind w:left="0" w:right="-1"/>
      <w:outlineLvl w:val="2"/>
    </w:pPr>
    <w:rPr>
      <w:rFonts w:ascii="Arial" w:hAnsi="Arial" w:cs="Arial"/>
      <w:b/>
      <w:bCs/>
      <w:color w:val="0000FF"/>
      <w:sz w:val="26"/>
      <w:szCs w:val="26"/>
      <w:u w:val="single" w:color="000080"/>
    </w:rPr>
  </w:style>
  <w:style w:type="paragraph" w:styleId="Titre4">
    <w:name w:val="heading 4"/>
    <w:basedOn w:val="Normal"/>
    <w:next w:val="Normal"/>
    <w:rsid w:val="000B70EB"/>
    <w:pPr>
      <w:keepNext/>
      <w:spacing w:before="120" w:after="120"/>
      <w:ind w:left="0"/>
      <w:outlineLvl w:val="3"/>
    </w:pPr>
    <w:rPr>
      <w:b/>
      <w:bCs/>
      <w:color w:val="0000FF"/>
      <w:u w:val="single" w:color="000080"/>
    </w:rPr>
  </w:style>
  <w:style w:type="paragraph" w:styleId="Titre5">
    <w:name w:val="heading 5"/>
    <w:basedOn w:val="Normal"/>
    <w:next w:val="Normal"/>
    <w:rsid w:val="000B70EB"/>
    <w:pPr>
      <w:keepNext/>
      <w:outlineLvl w:val="4"/>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B70EB"/>
    <w:pPr>
      <w:tabs>
        <w:tab w:val="center" w:pos="4536"/>
        <w:tab w:val="right" w:pos="9072"/>
      </w:tabs>
      <w:overflowPunct w:val="0"/>
      <w:autoSpaceDE w:val="0"/>
      <w:jc w:val="left"/>
    </w:pPr>
    <w:rPr>
      <w:sz w:val="20"/>
      <w:szCs w:val="20"/>
    </w:rPr>
  </w:style>
  <w:style w:type="paragraph" w:styleId="Pieddepage">
    <w:name w:val="footer"/>
    <w:basedOn w:val="Normal"/>
    <w:rsid w:val="000B70EB"/>
    <w:pPr>
      <w:tabs>
        <w:tab w:val="center" w:pos="4536"/>
        <w:tab w:val="right" w:pos="9072"/>
      </w:tabs>
    </w:pPr>
  </w:style>
  <w:style w:type="character" w:styleId="Lienhypertexte">
    <w:name w:val="Hyperlink"/>
    <w:rsid w:val="000B70EB"/>
    <w:rPr>
      <w:color w:val="0000FF"/>
      <w:u w:val="single"/>
    </w:rPr>
  </w:style>
  <w:style w:type="paragraph" w:customStyle="1" w:styleId="txt">
    <w:name w:val="txt"/>
    <w:basedOn w:val="Normal"/>
    <w:rsid w:val="000B70EB"/>
    <w:pPr>
      <w:spacing w:before="100" w:after="100"/>
      <w:jc w:val="left"/>
    </w:pPr>
    <w:rPr>
      <w:rFonts w:ascii="Arial" w:hAnsi="Arial" w:cs="Arial"/>
      <w:color w:val="003366"/>
      <w:sz w:val="15"/>
      <w:szCs w:val="15"/>
    </w:rPr>
  </w:style>
  <w:style w:type="paragraph" w:customStyle="1" w:styleId="ref">
    <w:name w:val="ref"/>
    <w:basedOn w:val="Normal"/>
    <w:rsid w:val="000B70EB"/>
    <w:pPr>
      <w:spacing w:before="100" w:after="100"/>
      <w:jc w:val="left"/>
    </w:pPr>
    <w:rPr>
      <w:rFonts w:ascii="Verdana" w:hAnsi="Verdana"/>
      <w:color w:val="003366"/>
      <w:sz w:val="16"/>
      <w:szCs w:val="16"/>
    </w:rPr>
  </w:style>
  <w:style w:type="character" w:styleId="Lienhypertextesuivivisit">
    <w:name w:val="FollowedHyperlink"/>
    <w:rsid w:val="000B70EB"/>
    <w:rPr>
      <w:color w:val="800080"/>
      <w:u w:val="single"/>
    </w:rPr>
  </w:style>
  <w:style w:type="paragraph" w:styleId="Normalcentr">
    <w:name w:val="Block Text"/>
    <w:basedOn w:val="Normal"/>
    <w:rsid w:val="000B70EB"/>
  </w:style>
  <w:style w:type="paragraph" w:styleId="Notedebasdepage">
    <w:name w:val="footnote text"/>
    <w:basedOn w:val="Normal"/>
    <w:rsid w:val="000B70EB"/>
    <w:rPr>
      <w:szCs w:val="20"/>
    </w:rPr>
  </w:style>
  <w:style w:type="character" w:styleId="Numrodepage">
    <w:name w:val="page number"/>
    <w:basedOn w:val="Policepardfaut"/>
    <w:rsid w:val="000B70EB"/>
  </w:style>
  <w:style w:type="paragraph" w:styleId="TM1">
    <w:name w:val="toc 1"/>
    <w:basedOn w:val="Normal"/>
    <w:next w:val="Normal"/>
    <w:autoRedefine/>
    <w:rsid w:val="000B70EB"/>
    <w:pPr>
      <w:spacing w:before="120" w:after="60"/>
      <w:ind w:left="0"/>
      <w:jc w:val="left"/>
    </w:pPr>
    <w:rPr>
      <w:b/>
      <w:bCs/>
      <w:color w:val="0000FF"/>
      <w:u w:val="single"/>
    </w:rPr>
  </w:style>
  <w:style w:type="paragraph" w:styleId="TM2">
    <w:name w:val="toc 2"/>
    <w:basedOn w:val="Normal"/>
    <w:next w:val="Normal"/>
    <w:autoRedefine/>
    <w:rsid w:val="000B70EB"/>
    <w:pPr>
      <w:spacing w:before="60" w:after="60"/>
      <w:jc w:val="left"/>
    </w:pPr>
    <w:rPr>
      <w:b/>
      <w:iCs/>
      <w:color w:val="0000FF"/>
    </w:rPr>
  </w:style>
  <w:style w:type="paragraph" w:styleId="TM3">
    <w:name w:val="toc 3"/>
    <w:basedOn w:val="Normal"/>
    <w:next w:val="Normal"/>
    <w:autoRedefine/>
    <w:rsid w:val="000B70EB"/>
    <w:pPr>
      <w:spacing w:before="60"/>
      <w:ind w:left="397"/>
      <w:jc w:val="left"/>
    </w:pPr>
    <w:rPr>
      <w:color w:val="0000FF"/>
    </w:rPr>
  </w:style>
  <w:style w:type="paragraph" w:styleId="TM4">
    <w:name w:val="toc 4"/>
    <w:basedOn w:val="Normal"/>
    <w:next w:val="Normal"/>
    <w:autoRedefine/>
    <w:rsid w:val="000B70EB"/>
    <w:pPr>
      <w:ind w:left="600"/>
      <w:jc w:val="left"/>
    </w:pPr>
    <w:rPr>
      <w:i/>
      <w:color w:val="0000FF"/>
    </w:rPr>
  </w:style>
  <w:style w:type="paragraph" w:styleId="TM5">
    <w:name w:val="toc 5"/>
    <w:basedOn w:val="Normal"/>
    <w:next w:val="Normal"/>
    <w:autoRedefine/>
    <w:rsid w:val="000B70EB"/>
    <w:pPr>
      <w:ind w:left="800"/>
      <w:jc w:val="left"/>
    </w:pPr>
  </w:style>
  <w:style w:type="paragraph" w:styleId="TM6">
    <w:name w:val="toc 6"/>
    <w:basedOn w:val="Normal"/>
    <w:next w:val="Normal"/>
    <w:autoRedefine/>
    <w:rsid w:val="000B70EB"/>
    <w:pPr>
      <w:ind w:left="1000"/>
      <w:jc w:val="left"/>
    </w:pPr>
    <w:rPr>
      <w:rFonts w:ascii="Times New Roman" w:hAnsi="Times New Roman"/>
    </w:rPr>
  </w:style>
  <w:style w:type="paragraph" w:styleId="TM7">
    <w:name w:val="toc 7"/>
    <w:basedOn w:val="Normal"/>
    <w:next w:val="Normal"/>
    <w:autoRedefine/>
    <w:rsid w:val="000B70EB"/>
    <w:pPr>
      <w:ind w:left="1200"/>
      <w:jc w:val="left"/>
    </w:pPr>
    <w:rPr>
      <w:rFonts w:ascii="Times New Roman" w:hAnsi="Times New Roman"/>
    </w:rPr>
  </w:style>
  <w:style w:type="paragraph" w:styleId="Paragraphedeliste">
    <w:name w:val="List Paragraph"/>
    <w:basedOn w:val="Normal"/>
    <w:uiPriority w:val="34"/>
    <w:qFormat/>
    <w:rsid w:val="007E6334"/>
    <w:pPr>
      <w:suppressAutoHyphens w:val="0"/>
      <w:autoSpaceDN/>
      <w:ind w:left="720" w:right="0"/>
      <w:contextualSpacing/>
      <w:jc w:val="left"/>
      <w:textAlignment w:val="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cogestion.discipline.ac-lille.fr/ressources-disciplinaires/espace-dedie-aux-professeurs-enseignant-en-bts-cg/bts-cg-situations-professionnelles/cas-stv/cas-stv-prof/view" TargetMode="External"/><Relationship Id="rId4" Type="http://schemas.openxmlformats.org/officeDocument/2006/relationships/webSettings" Target="webSettings.xml"/><Relationship Id="rId9" Type="http://schemas.openxmlformats.org/officeDocument/2006/relationships/hyperlink" Target="http://ecogestion.discipline.ac-lille.fr/ressources-disciplinaires/espace-dedie-aux-professeurs-enseignant-en-bts-cg/bts-cg-situations-professionnelles/cas-stv/copy_of_cas-stv-elev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Downloads\FichePedaCrc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FichePedaCrcf</Template>
  <TotalTime>1</TotalTime>
  <Pages>3</Pages>
  <Words>933</Words>
  <Characters>5136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Hugues JENNY</dc:creator>
  <cp:lastModifiedBy>Utilisateur</cp:lastModifiedBy>
  <cp:revision>2</cp:revision>
  <dcterms:created xsi:type="dcterms:W3CDTF">2016-02-11T07:37:00Z</dcterms:created>
  <dcterms:modified xsi:type="dcterms:W3CDTF">2016-02-11T07:37:00Z</dcterms:modified>
</cp:coreProperties>
</file>